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1"/>
        </w:rPr>
      </w:pPr>
      <w:bookmarkStart w:id="10" w:name="_GoBack"/>
      <w:bookmarkEnd w:id="10"/>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spacing w:line="960" w:lineRule="auto"/>
        <w:jc w:val="center"/>
        <w:rPr>
          <w:sz w:val="72"/>
        </w:rPr>
      </w:pPr>
      <w:r>
        <w:rPr>
          <w:rFonts w:hint="eastAsia"/>
          <w:sz w:val="72"/>
        </w:rPr>
        <w:t>浙江工商大学</w:t>
      </w:r>
    </w:p>
    <w:p>
      <w:pPr>
        <w:spacing w:line="960" w:lineRule="auto"/>
        <w:jc w:val="center"/>
        <w:rPr>
          <w:sz w:val="72"/>
        </w:rPr>
      </w:pPr>
      <w:r>
        <w:rPr>
          <w:rFonts w:hint="eastAsia"/>
          <w:sz w:val="72"/>
        </w:rPr>
        <w:t>自考专本衔接管理手册</w:t>
      </w:r>
    </w:p>
    <w:p>
      <w:pPr>
        <w:jc w:val="center"/>
        <w:rPr>
          <w:sz w:val="144"/>
        </w:rPr>
      </w:pPr>
    </w:p>
    <w:p>
      <w:pPr>
        <w:jc w:val="center"/>
        <w:rPr>
          <w:sz w:val="48"/>
        </w:rPr>
      </w:pPr>
    </w:p>
    <w:p>
      <w:pPr>
        <w:jc w:val="center"/>
        <w:rPr>
          <w:sz w:val="48"/>
        </w:rPr>
      </w:pPr>
    </w:p>
    <w:p>
      <w:pPr>
        <w:jc w:val="center"/>
        <w:rPr>
          <w:sz w:val="48"/>
        </w:rPr>
      </w:pPr>
    </w:p>
    <w:p>
      <w:pPr>
        <w:jc w:val="center"/>
        <w:rPr>
          <w:sz w:val="144"/>
        </w:rPr>
      </w:pPr>
    </w:p>
    <w:p>
      <w:pPr>
        <w:rPr>
          <w:szCs w:val="21"/>
        </w:rPr>
      </w:pPr>
    </w:p>
    <w:p>
      <w:pPr>
        <w:jc w:val="center"/>
        <w:rPr>
          <w:szCs w:val="21"/>
        </w:rPr>
      </w:pPr>
    </w:p>
    <w:p>
      <w:pPr>
        <w:pStyle w:val="18"/>
        <w:spacing w:line="360" w:lineRule="auto"/>
        <w:ind w:left="420" w:firstLine="0" w:firstLineChars="0"/>
        <w:jc w:val="left"/>
        <w:rPr>
          <w:szCs w:val="21"/>
        </w:rPr>
      </w:pPr>
    </w:p>
    <w:p>
      <w:pPr>
        <w:pStyle w:val="18"/>
        <w:spacing w:line="360" w:lineRule="auto"/>
        <w:ind w:left="420" w:firstLine="0" w:firstLineChars="0"/>
        <w:jc w:val="left"/>
        <w:rPr>
          <w:szCs w:val="21"/>
        </w:rPr>
      </w:pPr>
    </w:p>
    <w:p>
      <w:pPr>
        <w:pStyle w:val="18"/>
        <w:spacing w:line="360" w:lineRule="auto"/>
        <w:ind w:left="420" w:firstLine="0" w:firstLineChars="0"/>
        <w:jc w:val="left"/>
        <w:rPr>
          <w:szCs w:val="21"/>
        </w:rPr>
      </w:pPr>
    </w:p>
    <w:p>
      <w:pPr>
        <w:pStyle w:val="18"/>
        <w:spacing w:line="360" w:lineRule="auto"/>
        <w:ind w:left="420" w:firstLine="0" w:firstLineChars="0"/>
        <w:jc w:val="left"/>
        <w:rPr>
          <w:szCs w:val="21"/>
        </w:rPr>
      </w:pPr>
    </w:p>
    <w:p>
      <w:pPr>
        <w:pStyle w:val="18"/>
        <w:spacing w:line="360" w:lineRule="auto"/>
        <w:ind w:left="420" w:firstLine="0" w:firstLineChars="0"/>
        <w:jc w:val="left"/>
        <w:rPr>
          <w:szCs w:val="21"/>
        </w:rPr>
        <w:sectPr>
          <w:headerReference r:id="rId3" w:type="first"/>
          <w:footerReference r:id="rId4"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266662109"/>
        <w:docPartObj>
          <w:docPartGallery w:val="Table of Contents"/>
          <w:docPartUnique/>
        </w:docPartObj>
      </w:sdtPr>
      <w:sdtEndPr>
        <w:rPr>
          <w:rFonts w:asciiTheme="minorHAnsi" w:hAnsiTheme="minorHAnsi" w:eastAsiaTheme="minorEastAsia" w:cstheme="minorBidi"/>
          <w:b w:val="0"/>
          <w:bCs w:val="0"/>
          <w:color w:val="auto"/>
          <w:kern w:val="2"/>
          <w:sz w:val="28"/>
          <w:szCs w:val="28"/>
          <w:lang w:val="zh-CN"/>
        </w:rPr>
      </w:sdtEndPr>
      <w:sdtContent>
        <w:p>
          <w:pPr>
            <w:pStyle w:val="23"/>
            <w:jc w:val="center"/>
            <w:rPr>
              <w:color w:val="auto"/>
              <w:sz w:val="44"/>
            </w:rPr>
          </w:pPr>
          <w:r>
            <w:rPr>
              <w:color w:val="auto"/>
              <w:sz w:val="44"/>
              <w:lang w:val="zh-CN"/>
            </w:rPr>
            <w:t>目录</w:t>
          </w:r>
        </w:p>
        <w:p>
          <w:pPr>
            <w:pStyle w:val="9"/>
            <w:rPr>
              <w:rFonts w:asciiTheme="minorEastAsia" w:hAnsiTheme="minorEastAsia"/>
            </w:rPr>
          </w:pPr>
          <w:r>
            <w:fldChar w:fldCharType="begin"/>
          </w:r>
          <w:r>
            <w:instrText xml:space="preserve"> TOC \o "1-3" \h \z \u </w:instrText>
          </w:r>
          <w:r>
            <w:fldChar w:fldCharType="separate"/>
          </w:r>
          <w:r>
            <w:fldChar w:fldCharType="begin"/>
          </w:r>
          <w:r>
            <w:instrText xml:space="preserve"> HYPERLINK \l "_Toc493751891" </w:instrText>
          </w:r>
          <w:r>
            <w:fldChar w:fldCharType="separate"/>
          </w:r>
          <w:r>
            <w:rPr>
              <w:rStyle w:val="13"/>
              <w:rFonts w:hint="eastAsia" w:asciiTheme="minorEastAsia" w:hAnsiTheme="minorEastAsia"/>
              <w:color w:val="auto"/>
              <w:sz w:val="28"/>
              <w:szCs w:val="28"/>
              <w:u w:val="none"/>
              <w:lang w:val="zh-CN"/>
            </w:rPr>
            <w:t>一、浙江工商大学自考专本衔接工作概况</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_Toc493751891 \h </w:instrText>
          </w:r>
          <w:r>
            <w:rPr>
              <w:rFonts w:asciiTheme="minorEastAsia" w:hAnsiTheme="minorEastAsia"/>
            </w:rPr>
            <w:fldChar w:fldCharType="separate"/>
          </w:r>
          <w:r>
            <w:rPr>
              <w:rFonts w:asciiTheme="minorEastAsia" w:hAnsiTheme="minorEastAsia"/>
            </w:rPr>
            <w:t>1</w:t>
          </w:r>
          <w:r>
            <w:rPr>
              <w:rFonts w:asciiTheme="minorEastAsia" w:hAnsiTheme="minorEastAsia"/>
            </w:rPr>
            <w:fldChar w:fldCharType="end"/>
          </w:r>
          <w:r>
            <w:rPr>
              <w:rFonts w:asciiTheme="minorEastAsia" w:hAnsiTheme="minorEastAsia"/>
            </w:rPr>
            <w:fldChar w:fldCharType="end"/>
          </w:r>
        </w:p>
        <w:p>
          <w:pPr>
            <w:pStyle w:val="9"/>
          </w:pPr>
          <w:r>
            <w:fldChar w:fldCharType="begin"/>
          </w:r>
          <w:r>
            <w:instrText xml:space="preserve"> HYPERLINK \l "_Toc493751892" </w:instrText>
          </w:r>
          <w:r>
            <w:fldChar w:fldCharType="separate"/>
          </w:r>
          <w:r>
            <w:rPr>
              <w:rStyle w:val="13"/>
              <w:rFonts w:hint="eastAsia" w:asciiTheme="minorEastAsia" w:hAnsiTheme="minorEastAsia"/>
              <w:color w:val="auto"/>
              <w:sz w:val="28"/>
              <w:szCs w:val="28"/>
              <w:u w:val="none"/>
              <w:lang w:val="zh-CN"/>
            </w:rPr>
            <w:t>二、招生管理</w:t>
          </w:r>
          <w:r>
            <w:tab/>
          </w:r>
          <w:r>
            <w:fldChar w:fldCharType="begin"/>
          </w:r>
          <w:r>
            <w:instrText xml:space="preserve"> PAGEREF _Toc493751892 \h </w:instrText>
          </w:r>
          <w:r>
            <w:fldChar w:fldCharType="separate"/>
          </w:r>
          <w:r>
            <w:t>2</w:t>
          </w:r>
          <w:r>
            <w:fldChar w:fldCharType="end"/>
          </w:r>
          <w:r>
            <w:fldChar w:fldCharType="end"/>
          </w:r>
        </w:p>
        <w:p>
          <w:pPr>
            <w:pStyle w:val="9"/>
          </w:pPr>
          <w:r>
            <w:fldChar w:fldCharType="begin"/>
          </w:r>
          <w:r>
            <w:instrText xml:space="preserve"> HYPERLINK \l "_Toc493751893" </w:instrText>
          </w:r>
          <w:r>
            <w:fldChar w:fldCharType="separate"/>
          </w:r>
          <w:r>
            <w:rPr>
              <w:rStyle w:val="13"/>
              <w:rFonts w:hint="eastAsia" w:asciiTheme="minorEastAsia" w:hAnsiTheme="minorEastAsia"/>
              <w:color w:val="auto"/>
              <w:sz w:val="28"/>
              <w:szCs w:val="28"/>
              <w:u w:val="none"/>
              <w:lang w:val="zh-CN"/>
            </w:rPr>
            <w:t>三、教学管理与服务</w:t>
          </w:r>
          <w:r>
            <w:tab/>
          </w:r>
          <w:r>
            <w:fldChar w:fldCharType="begin"/>
          </w:r>
          <w:r>
            <w:instrText xml:space="preserve"> PAGEREF _Toc493751893 \h </w:instrText>
          </w:r>
          <w:r>
            <w:fldChar w:fldCharType="separate"/>
          </w:r>
          <w:r>
            <w:t>3</w:t>
          </w:r>
          <w:r>
            <w:fldChar w:fldCharType="end"/>
          </w:r>
          <w:r>
            <w:fldChar w:fldCharType="end"/>
          </w:r>
        </w:p>
        <w:p>
          <w:pPr>
            <w:pStyle w:val="9"/>
          </w:pPr>
          <w:r>
            <w:fldChar w:fldCharType="begin"/>
          </w:r>
          <w:r>
            <w:instrText xml:space="preserve"> HYPERLINK \l "_Toc493751894" </w:instrText>
          </w:r>
          <w:r>
            <w:fldChar w:fldCharType="separate"/>
          </w:r>
          <w:r>
            <w:rPr>
              <w:rStyle w:val="13"/>
              <w:rFonts w:hint="eastAsia" w:asciiTheme="minorEastAsia" w:hAnsiTheme="minorEastAsia"/>
              <w:color w:val="auto"/>
              <w:sz w:val="28"/>
              <w:szCs w:val="28"/>
              <w:u w:val="none"/>
              <w:lang w:val="zh-CN"/>
            </w:rPr>
            <w:t>四、考务管理</w:t>
          </w:r>
          <w:r>
            <w:tab/>
          </w:r>
          <w:r>
            <w:fldChar w:fldCharType="begin"/>
          </w:r>
          <w:r>
            <w:instrText xml:space="preserve"> PAGEREF _Toc493751894 \h </w:instrText>
          </w:r>
          <w:r>
            <w:fldChar w:fldCharType="separate"/>
          </w:r>
          <w:r>
            <w:t>4</w:t>
          </w:r>
          <w:r>
            <w:fldChar w:fldCharType="end"/>
          </w:r>
          <w:r>
            <w:fldChar w:fldCharType="end"/>
          </w:r>
        </w:p>
        <w:p>
          <w:pPr>
            <w:pStyle w:val="9"/>
          </w:pPr>
          <w:r>
            <w:fldChar w:fldCharType="begin"/>
          </w:r>
          <w:r>
            <w:instrText xml:space="preserve"> HYPERLINK \l "_Toc493751895" </w:instrText>
          </w:r>
          <w:r>
            <w:fldChar w:fldCharType="separate"/>
          </w:r>
          <w:r>
            <w:rPr>
              <w:rStyle w:val="13"/>
              <w:rFonts w:hint="eastAsia" w:asciiTheme="minorEastAsia" w:hAnsiTheme="minorEastAsia"/>
              <w:color w:val="auto"/>
              <w:sz w:val="28"/>
              <w:szCs w:val="28"/>
              <w:u w:val="none"/>
              <w:lang w:val="zh-CN"/>
            </w:rPr>
            <w:t>五、学籍管理</w:t>
          </w:r>
          <w:r>
            <w:tab/>
          </w:r>
          <w:r>
            <w:fldChar w:fldCharType="begin"/>
          </w:r>
          <w:r>
            <w:instrText xml:space="preserve"> PAGEREF _Toc493751895 \h </w:instrText>
          </w:r>
          <w:r>
            <w:fldChar w:fldCharType="separate"/>
          </w:r>
          <w:r>
            <w:t>5</w:t>
          </w:r>
          <w:r>
            <w:fldChar w:fldCharType="end"/>
          </w:r>
          <w:r>
            <w:fldChar w:fldCharType="end"/>
          </w:r>
        </w:p>
        <w:p>
          <w:pPr>
            <w:pStyle w:val="9"/>
          </w:pPr>
          <w:r>
            <w:fldChar w:fldCharType="begin"/>
          </w:r>
          <w:r>
            <w:instrText xml:space="preserve"> HYPERLINK \l "_Toc493751896" </w:instrText>
          </w:r>
          <w:r>
            <w:fldChar w:fldCharType="separate"/>
          </w:r>
          <w:r>
            <w:rPr>
              <w:rStyle w:val="13"/>
              <w:rFonts w:hint="eastAsia" w:asciiTheme="minorEastAsia" w:hAnsiTheme="minorEastAsia"/>
              <w:color w:val="auto"/>
              <w:sz w:val="28"/>
              <w:szCs w:val="28"/>
              <w:u w:val="none"/>
              <w:lang w:val="zh-CN"/>
            </w:rPr>
            <w:t>六、缴费与退费</w:t>
          </w:r>
          <w:r>
            <w:tab/>
          </w:r>
          <w:r>
            <w:fldChar w:fldCharType="begin"/>
          </w:r>
          <w:r>
            <w:instrText xml:space="preserve"> PAGEREF _Toc493751896 \h </w:instrText>
          </w:r>
          <w:r>
            <w:fldChar w:fldCharType="separate"/>
          </w:r>
          <w:r>
            <w:t>7</w:t>
          </w:r>
          <w:r>
            <w:fldChar w:fldCharType="end"/>
          </w:r>
          <w:r>
            <w:fldChar w:fldCharType="end"/>
          </w:r>
        </w:p>
        <w:p>
          <w:pPr>
            <w:pStyle w:val="9"/>
          </w:pPr>
          <w:r>
            <w:fldChar w:fldCharType="begin"/>
          </w:r>
          <w:r>
            <w:instrText xml:space="preserve"> HYPERLINK \l "_Toc493751897" </w:instrText>
          </w:r>
          <w:r>
            <w:fldChar w:fldCharType="separate"/>
          </w:r>
          <w:r>
            <w:rPr>
              <w:rStyle w:val="13"/>
              <w:rFonts w:hint="eastAsia" w:asciiTheme="minorEastAsia" w:hAnsiTheme="minorEastAsia"/>
              <w:color w:val="auto"/>
              <w:sz w:val="28"/>
              <w:szCs w:val="28"/>
              <w:u w:val="none"/>
              <w:lang w:val="zh-CN"/>
            </w:rPr>
            <w:t>七、其他事项</w:t>
          </w:r>
          <w:r>
            <w:tab/>
          </w:r>
          <w:r>
            <w:fldChar w:fldCharType="begin"/>
          </w:r>
          <w:r>
            <w:instrText xml:space="preserve"> PAGEREF _Toc493751897 \h </w:instrText>
          </w:r>
          <w:r>
            <w:fldChar w:fldCharType="separate"/>
          </w:r>
          <w:r>
            <w:t>7</w:t>
          </w:r>
          <w:r>
            <w:fldChar w:fldCharType="end"/>
          </w:r>
          <w:r>
            <w:fldChar w:fldCharType="end"/>
          </w:r>
        </w:p>
        <w:p>
          <w:pPr>
            <w:rPr>
              <w:sz w:val="28"/>
              <w:szCs w:val="28"/>
            </w:rPr>
          </w:pPr>
          <w:r>
            <w:rPr>
              <w:b/>
              <w:bCs/>
              <w:sz w:val="28"/>
              <w:szCs w:val="28"/>
              <w:lang w:val="zh-CN"/>
            </w:rPr>
            <w:fldChar w:fldCharType="end"/>
          </w:r>
        </w:p>
      </w:sdtContent>
    </w:sdt>
    <w:p>
      <w:pPr>
        <w:widowControl/>
        <w:jc w:val="left"/>
        <w:rPr>
          <w:rFonts w:eastAsia="仿宋_GB2312"/>
          <w:sz w:val="28"/>
          <w:szCs w:val="28"/>
          <w:lang w:val="zh-CN"/>
        </w:rPr>
      </w:pPr>
      <w:r>
        <w:rPr>
          <w:rFonts w:hint="eastAsia" w:eastAsia="仿宋_GB2312"/>
          <w:sz w:val="28"/>
          <w:szCs w:val="28"/>
          <w:lang w:val="zh-CN"/>
        </w:rPr>
        <w:t>附件一：教学计划</w:t>
      </w:r>
    </w:p>
    <w:p>
      <w:pPr>
        <w:widowControl/>
        <w:jc w:val="left"/>
        <w:rPr>
          <w:rFonts w:eastAsia="仿宋_GB2312"/>
          <w:sz w:val="28"/>
          <w:szCs w:val="28"/>
          <w:lang w:val="zh-CN"/>
        </w:rPr>
      </w:pPr>
      <w:r>
        <w:rPr>
          <w:rFonts w:hint="eastAsia" w:eastAsia="仿宋_GB2312"/>
          <w:sz w:val="28"/>
          <w:szCs w:val="28"/>
          <w:lang w:val="zh-CN"/>
        </w:rPr>
        <w:t>附件二：实践课程报名格式;毕业论文报名格式</w:t>
      </w:r>
    </w:p>
    <w:p>
      <w:pPr>
        <w:widowControl/>
        <w:jc w:val="left"/>
        <w:rPr>
          <w:rFonts w:eastAsia="仿宋_GB2312"/>
          <w:sz w:val="28"/>
          <w:szCs w:val="28"/>
          <w:lang w:val="zh-CN"/>
        </w:rPr>
      </w:pPr>
      <w:r>
        <w:rPr>
          <w:rFonts w:hint="eastAsia" w:eastAsia="仿宋_GB2312"/>
          <w:sz w:val="28"/>
          <w:szCs w:val="28"/>
          <w:lang w:val="zh-CN"/>
        </w:rPr>
        <w:t>附件三：浙江工商大学自学考试专本衔接课程过程性评价实施细则</w:t>
      </w:r>
    </w:p>
    <w:p>
      <w:pPr>
        <w:widowControl/>
        <w:jc w:val="left"/>
        <w:rPr>
          <w:rFonts w:eastAsia="仿宋_GB2312"/>
          <w:sz w:val="28"/>
          <w:szCs w:val="28"/>
          <w:lang w:val="zh-CN"/>
        </w:rPr>
      </w:pPr>
      <w:r>
        <w:rPr>
          <w:rFonts w:hint="eastAsia" w:eastAsia="仿宋_GB2312"/>
          <w:sz w:val="28"/>
          <w:szCs w:val="28"/>
          <w:lang w:val="zh-CN"/>
        </w:rPr>
        <w:t>附件四：退学申请表</w:t>
      </w:r>
    </w:p>
    <w:p>
      <w:pPr>
        <w:widowControl/>
        <w:ind w:left="1120" w:hanging="1120" w:hangingChars="400"/>
        <w:jc w:val="left"/>
        <w:rPr>
          <w:rFonts w:eastAsia="仿宋_GB2312"/>
          <w:sz w:val="28"/>
          <w:szCs w:val="28"/>
          <w:lang w:val="zh-CN"/>
        </w:rPr>
      </w:pPr>
      <w:r>
        <w:rPr>
          <w:rFonts w:hint="eastAsia" w:eastAsia="仿宋_GB2312"/>
          <w:sz w:val="28"/>
          <w:szCs w:val="28"/>
          <w:lang w:val="zh-CN"/>
        </w:rPr>
        <w:t>附件五：浙江省教育厅办公室关于印发进一步加强高等教育自学考</w:t>
      </w:r>
    </w:p>
    <w:p>
      <w:pPr>
        <w:widowControl/>
        <w:ind w:left="1121" w:leftChars="534"/>
        <w:jc w:val="left"/>
        <w:rPr>
          <w:rFonts w:eastAsia="仿宋_GB2312"/>
          <w:sz w:val="28"/>
          <w:szCs w:val="28"/>
          <w:lang w:val="zh-CN"/>
        </w:rPr>
      </w:pPr>
      <w:r>
        <w:rPr>
          <w:rFonts w:hint="eastAsia" w:eastAsia="仿宋_GB2312"/>
          <w:sz w:val="28"/>
          <w:szCs w:val="28"/>
          <w:lang w:val="zh-CN"/>
        </w:rPr>
        <w:t>试全日制助学管理若干规定的通知</w:t>
      </w:r>
    </w:p>
    <w:p>
      <w:pPr>
        <w:widowControl/>
        <w:jc w:val="left"/>
        <w:rPr>
          <w:rFonts w:eastAsia="仿宋_GB2312"/>
          <w:sz w:val="28"/>
          <w:szCs w:val="28"/>
          <w:lang w:val="zh-CN"/>
        </w:rPr>
        <w:sectPr>
          <w:headerReference r:id="rId5" w:type="first"/>
          <w:footerReference r:id="rId7" w:type="first"/>
          <w:footerReference r:id="rId6" w:type="default"/>
          <w:pgSz w:w="11906" w:h="16838"/>
          <w:pgMar w:top="1440" w:right="1800" w:bottom="1440" w:left="1800" w:header="851" w:footer="992" w:gutter="0"/>
          <w:pgNumType w:fmt="upperRoman" w:start="1"/>
          <w:cols w:space="425" w:num="1"/>
          <w:titlePg/>
          <w:docGrid w:type="lines" w:linePitch="312" w:charSpace="0"/>
        </w:sectPr>
      </w:pPr>
      <w:r>
        <w:rPr>
          <w:rFonts w:hint="eastAsia" w:eastAsia="仿宋_GB2312"/>
          <w:sz w:val="28"/>
          <w:szCs w:val="28"/>
          <w:lang w:val="zh-CN"/>
        </w:rPr>
        <w:t>附件六：学费缴费格式</w:t>
      </w:r>
    </w:p>
    <w:p>
      <w:pPr>
        <w:pStyle w:val="11"/>
        <w:numPr>
          <w:ilvl w:val="0"/>
          <w:numId w:val="1"/>
        </w:numPr>
        <w:spacing w:before="0"/>
        <w:jc w:val="left"/>
        <w:rPr>
          <w:rFonts w:hAnsi="黑体" w:eastAsia="黑体" w:asciiTheme="minorHAnsi" w:cstheme="minorBidi"/>
          <w:b w:val="0"/>
          <w:lang w:val="zh-CN"/>
        </w:rPr>
      </w:pPr>
      <w:bookmarkStart w:id="0" w:name="_Toc493751891"/>
      <w:r>
        <w:rPr>
          <w:rFonts w:hint="eastAsia" w:hAnsi="黑体" w:eastAsia="黑体" w:asciiTheme="minorHAnsi" w:cstheme="minorBidi"/>
          <w:b w:val="0"/>
          <w:lang w:val="zh-CN"/>
        </w:rPr>
        <w:t>浙江工商大学自考专本衔接工作概况</w:t>
      </w:r>
      <w:bookmarkEnd w:id="0"/>
    </w:p>
    <w:p>
      <w:pPr>
        <w:pStyle w:val="18"/>
        <w:numPr>
          <w:ilvl w:val="0"/>
          <w:numId w:val="2"/>
        </w:numPr>
        <w:spacing w:line="460" w:lineRule="exact"/>
        <w:ind w:firstLineChars="0"/>
        <w:contextualSpacing/>
        <w:rPr>
          <w:rFonts w:eastAsia="仿宋_GB2312"/>
          <w:b/>
          <w:sz w:val="28"/>
          <w:szCs w:val="28"/>
          <w:lang w:val="zh-CN"/>
        </w:rPr>
      </w:pPr>
      <w:r>
        <w:rPr>
          <w:rFonts w:hint="eastAsia" w:eastAsia="仿宋_GB2312"/>
          <w:b/>
          <w:sz w:val="28"/>
          <w:szCs w:val="28"/>
          <w:lang w:val="zh-CN"/>
        </w:rPr>
        <w:t>浙江工商大学简介</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浙江工商大学坐落于风景秀丽的浙江省会城市杭州，前身是创建于1911年的杭州中等商业学堂，至今已有100多年的办学历史。1980年成立杭州商学院，2004年更名为浙江工商大学，2015年被确认为浙江省人民政府、商务部和教育部共建大学, 2017年，被确定为浙江省重点建设大学。学校拥有管理学、经济学、工学、文学、法学、理学、历史学、哲学、艺术等九大学科，拥有博士学位，硕士学位、学士学位授予权，硕士专业学位授予权，外国留学生、港澳台学生招生权。</w:t>
      </w:r>
    </w:p>
    <w:p>
      <w:pPr>
        <w:spacing w:afterLines="250" w:line="460" w:lineRule="exact"/>
        <w:ind w:firstLine="560" w:firstLineChars="200"/>
        <w:contextualSpacing/>
        <w:rPr>
          <w:rFonts w:eastAsia="仿宋_GB2312"/>
          <w:sz w:val="28"/>
          <w:szCs w:val="28"/>
          <w:lang w:val="zh-CN"/>
        </w:rPr>
      </w:pPr>
      <w:r>
        <w:rPr>
          <w:rFonts w:hint="eastAsia" w:eastAsia="仿宋_GB2312"/>
          <w:sz w:val="28"/>
          <w:szCs w:val="28"/>
          <w:lang w:val="zh-CN"/>
        </w:rPr>
        <w:t>浙江工商大学继续教育学院是学校的直属学院，全面负责自考助学工作。先后被评为“全国高等教育自学考试先进集体”，“全国高等教育自学考试示范助学组织”，“浙江省高等教育自学考试先进集体”，“浙江省全日制自考助学优秀院校”。</w:t>
      </w:r>
    </w:p>
    <w:p>
      <w:pPr>
        <w:snapToGrid w:val="0"/>
        <w:spacing w:beforeLines="300" w:line="460" w:lineRule="exact"/>
        <w:rPr>
          <w:rFonts w:eastAsia="仿宋_GB2312"/>
          <w:sz w:val="28"/>
          <w:szCs w:val="28"/>
          <w:lang w:val="zh-CN"/>
        </w:rPr>
      </w:pPr>
      <w:r>
        <w:rPr>
          <w:rFonts w:hint="eastAsia" w:eastAsia="仿宋_GB2312"/>
          <w:b/>
          <w:sz w:val="28"/>
          <w:szCs w:val="28"/>
          <w:lang w:val="zh-CN"/>
        </w:rPr>
        <w:t>2.浙江工商大学自考专本衔接工作简介</w:t>
      </w:r>
    </w:p>
    <w:p>
      <w:pPr>
        <w:shd w:val="clear" w:color="auto" w:fill="FFFFFF"/>
        <w:spacing w:line="460" w:lineRule="exact"/>
        <w:ind w:firstLine="480"/>
        <w:rPr>
          <w:rFonts w:eastAsia="仿宋_GB2312"/>
          <w:b/>
          <w:sz w:val="28"/>
          <w:szCs w:val="28"/>
          <w:lang w:val="zh-CN"/>
        </w:rPr>
      </w:pPr>
      <w:r>
        <w:rPr>
          <w:rFonts w:hint="eastAsia" w:eastAsia="仿宋_GB2312"/>
          <w:b/>
          <w:sz w:val="28"/>
          <w:szCs w:val="28"/>
          <w:lang w:val="zh-CN"/>
        </w:rPr>
        <w:t>自考专本衔接工作</w:t>
      </w:r>
      <w:r>
        <w:rPr>
          <w:rFonts w:hint="eastAsia" w:eastAsia="仿宋_GB2312"/>
          <w:sz w:val="28"/>
          <w:szCs w:val="28"/>
          <w:lang w:val="zh-CN"/>
        </w:rPr>
        <w:t>（以下简称专本衔接）</w:t>
      </w:r>
      <w:r>
        <w:rPr>
          <w:rFonts w:eastAsia="仿宋_GB2312"/>
          <w:b/>
          <w:sz w:val="28"/>
          <w:szCs w:val="28"/>
          <w:lang w:val="zh-CN"/>
        </w:rPr>
        <w:t>是指</w:t>
      </w:r>
      <w:r>
        <w:fldChar w:fldCharType="begin"/>
      </w:r>
      <w:r>
        <w:instrText xml:space="preserve"> HYPERLINK "https://baike.baidu.com/item/%E9%AB%98%E7%AD%89%E8%81%8C%E4%B8%9A%E6%8A%80%E6%9C%AF%E5%AD%A6%E9%99%A2" \t "_blank" </w:instrText>
      </w:r>
      <w:r>
        <w:fldChar w:fldCharType="separate"/>
      </w:r>
      <w:r>
        <w:rPr>
          <w:rFonts w:eastAsia="仿宋_GB2312"/>
          <w:b/>
          <w:sz w:val="28"/>
          <w:szCs w:val="28"/>
          <w:lang w:val="zh-CN"/>
        </w:rPr>
        <w:t>高等职业技术学院</w:t>
      </w:r>
      <w:r>
        <w:rPr>
          <w:rFonts w:eastAsia="仿宋_GB2312"/>
          <w:b/>
          <w:sz w:val="28"/>
          <w:szCs w:val="28"/>
          <w:lang w:val="zh-CN"/>
        </w:rPr>
        <w:fldChar w:fldCharType="end"/>
      </w:r>
      <w:r>
        <w:rPr>
          <w:rFonts w:hint="eastAsia" w:eastAsia="仿宋_GB2312"/>
          <w:b/>
          <w:sz w:val="28"/>
          <w:szCs w:val="28"/>
          <w:lang w:val="zh-CN"/>
        </w:rPr>
        <w:t>等</w:t>
      </w:r>
      <w:r>
        <w:rPr>
          <w:rFonts w:eastAsia="仿宋_GB2312"/>
          <w:b/>
          <w:sz w:val="28"/>
          <w:szCs w:val="28"/>
          <w:lang w:val="zh-CN"/>
        </w:rPr>
        <w:t>专科层次在校生</w:t>
      </w:r>
      <w:r>
        <w:rPr>
          <w:rFonts w:hint="eastAsia" w:eastAsia="仿宋_GB2312"/>
          <w:b/>
          <w:sz w:val="28"/>
          <w:szCs w:val="28"/>
          <w:lang w:val="zh-CN"/>
        </w:rPr>
        <w:t>，</w:t>
      </w:r>
      <w:r>
        <w:rPr>
          <w:rFonts w:eastAsia="仿宋_GB2312"/>
          <w:b/>
          <w:sz w:val="28"/>
          <w:szCs w:val="28"/>
          <w:lang w:val="zh-CN"/>
        </w:rPr>
        <w:t>在校就读期间，学有余力，</w:t>
      </w:r>
      <w:r>
        <w:rPr>
          <w:rFonts w:hint="eastAsia" w:eastAsia="仿宋_GB2312"/>
          <w:b/>
          <w:sz w:val="28"/>
          <w:szCs w:val="28"/>
          <w:lang w:val="zh-CN"/>
        </w:rPr>
        <w:t>通过普通本科院校助学等形式，同时</w:t>
      </w:r>
      <w:r>
        <w:rPr>
          <w:rFonts w:eastAsia="仿宋_GB2312"/>
          <w:b/>
          <w:sz w:val="28"/>
          <w:szCs w:val="28"/>
          <w:lang w:val="zh-CN"/>
        </w:rPr>
        <w:t>参加高等教育自学考试本科阶段学习和考试</w:t>
      </w:r>
      <w:r>
        <w:rPr>
          <w:rFonts w:hint="eastAsia" w:eastAsia="仿宋_GB2312"/>
          <w:b/>
          <w:sz w:val="28"/>
          <w:szCs w:val="28"/>
          <w:lang w:val="zh-CN"/>
        </w:rPr>
        <w:t>，以提高自身学历层次</w:t>
      </w:r>
      <w:r>
        <w:rPr>
          <w:rFonts w:eastAsia="仿宋_GB2312"/>
          <w:b/>
          <w:sz w:val="28"/>
          <w:szCs w:val="28"/>
          <w:lang w:val="zh-CN"/>
        </w:rPr>
        <w:t>的一种新型</w:t>
      </w:r>
      <w:r>
        <w:fldChar w:fldCharType="begin"/>
      </w:r>
      <w:r>
        <w:instrText xml:space="preserve"> HYPERLINK "https://baike.baidu.com/item/%E8%87%AA%E5%AD%A6%E8%80%83%E8%AF%95" \t "_blank" </w:instrText>
      </w:r>
      <w:r>
        <w:fldChar w:fldCharType="separate"/>
      </w:r>
      <w:r>
        <w:rPr>
          <w:rFonts w:eastAsia="仿宋_GB2312"/>
          <w:b/>
          <w:sz w:val="28"/>
          <w:szCs w:val="28"/>
          <w:lang w:val="zh-CN"/>
        </w:rPr>
        <w:t>自学考试</w:t>
      </w:r>
      <w:r>
        <w:rPr>
          <w:rFonts w:eastAsia="仿宋_GB2312"/>
          <w:b/>
          <w:sz w:val="28"/>
          <w:szCs w:val="28"/>
          <w:lang w:val="zh-CN"/>
        </w:rPr>
        <w:fldChar w:fldCharType="end"/>
      </w:r>
      <w:r>
        <w:rPr>
          <w:rFonts w:hint="eastAsia" w:eastAsia="仿宋_GB2312"/>
          <w:b/>
          <w:sz w:val="28"/>
          <w:szCs w:val="28"/>
          <w:lang w:val="zh-CN"/>
        </w:rPr>
        <w:t>方式</w:t>
      </w:r>
      <w:r>
        <w:rPr>
          <w:rFonts w:eastAsia="仿宋_GB2312"/>
          <w:b/>
          <w:sz w:val="28"/>
          <w:szCs w:val="28"/>
          <w:lang w:val="zh-CN"/>
        </w:rPr>
        <w:t>。</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在高等职业技术学院等院校开展专本衔接工作，能充分整合各种教育资源，实现自学考试教育与全日制专科教育优势互补、协调发展；能发挥高等院校专业教学优势，帮助专科层次在校生通过自学考试取得本科学历，以进一步提升其自身综合素质和就业竞争能力。</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专本衔接工作由浙江工商大学与学生所在院校共同组织实施，在充分融合双方教育教学资源的同时，还利用浙江吉博教育科技有限公司的在线学习平台，为学生提供良好的助学条件。</w:t>
      </w:r>
    </w:p>
    <w:p>
      <w:pPr>
        <w:spacing w:beforeLines="50" w:line="460" w:lineRule="exact"/>
        <w:rPr>
          <w:rFonts w:eastAsia="仿宋_GB2312"/>
          <w:b/>
          <w:sz w:val="28"/>
          <w:szCs w:val="28"/>
          <w:lang w:val="zh-CN"/>
        </w:rPr>
      </w:pPr>
      <w:r>
        <w:rPr>
          <w:rFonts w:hint="eastAsia" w:eastAsia="仿宋_GB2312"/>
          <w:b/>
          <w:sz w:val="28"/>
          <w:szCs w:val="28"/>
          <w:lang w:val="zh-CN"/>
        </w:rPr>
        <w:t>3</w:t>
      </w:r>
      <w:r>
        <w:rPr>
          <w:rFonts w:eastAsia="仿宋_GB2312"/>
          <w:b/>
          <w:sz w:val="28"/>
          <w:szCs w:val="28"/>
          <w:lang w:val="zh-CN"/>
        </w:rPr>
        <w:t>.</w:t>
      </w:r>
      <w:r>
        <w:rPr>
          <w:rFonts w:hint="eastAsia" w:eastAsia="仿宋_GB2312"/>
          <w:b/>
          <w:sz w:val="28"/>
          <w:szCs w:val="28"/>
          <w:lang w:val="zh-CN"/>
        </w:rPr>
        <w:t>开展专本衔接工作具有以下优势和特点</w:t>
      </w:r>
    </w:p>
    <w:p>
      <w:pPr>
        <w:spacing w:line="460" w:lineRule="exact"/>
        <w:jc w:val="left"/>
        <w:rPr>
          <w:rFonts w:eastAsia="仿宋_GB2312"/>
          <w:sz w:val="28"/>
          <w:szCs w:val="28"/>
          <w:lang w:val="zh-CN"/>
        </w:rPr>
      </w:pPr>
      <w:r>
        <w:rPr>
          <w:rFonts w:hint="eastAsia" w:eastAsia="仿宋_GB2312"/>
          <w:b/>
          <w:sz w:val="28"/>
          <w:szCs w:val="28"/>
          <w:lang w:val="zh-CN"/>
        </w:rPr>
        <w:t>(</w:t>
      </w:r>
      <w:r>
        <w:rPr>
          <w:rFonts w:eastAsia="仿宋_GB2312"/>
          <w:b/>
          <w:sz w:val="28"/>
          <w:szCs w:val="28"/>
          <w:lang w:val="zh-CN"/>
        </w:rPr>
        <w:t>1</w:t>
      </w:r>
      <w:r>
        <w:rPr>
          <w:rFonts w:hint="eastAsia" w:eastAsia="仿宋_GB2312"/>
          <w:b/>
          <w:sz w:val="28"/>
          <w:szCs w:val="28"/>
          <w:lang w:val="zh-CN"/>
        </w:rPr>
        <w:t>)节约时间，无缝对接一步到位</w:t>
      </w:r>
      <w:r>
        <w:rPr>
          <w:rFonts w:hint="eastAsia" w:eastAsia="仿宋_GB2312"/>
          <w:sz w:val="28"/>
          <w:szCs w:val="28"/>
          <w:lang w:val="zh-CN"/>
        </w:rPr>
        <w:t>:</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课程学习无缝对接。在学生专科学习期间衔接自考本科课程，用2-3年的时间完成自考的本科专业课程学习，成绩合格者，最快可在专科毕业后半年拿到自考本科毕业证书。</w:t>
      </w:r>
    </w:p>
    <w:p>
      <w:pPr>
        <w:spacing w:line="460" w:lineRule="exact"/>
        <w:jc w:val="left"/>
        <w:rPr>
          <w:rFonts w:eastAsia="仿宋_GB2312"/>
          <w:b/>
          <w:sz w:val="28"/>
          <w:szCs w:val="28"/>
          <w:lang w:val="zh-CN"/>
        </w:rPr>
      </w:pPr>
      <w:r>
        <w:rPr>
          <w:rFonts w:hint="eastAsia" w:eastAsia="仿宋_GB2312"/>
          <w:b/>
          <w:sz w:val="28"/>
          <w:szCs w:val="28"/>
          <w:lang w:val="zh-CN"/>
        </w:rPr>
        <w:t>(</w:t>
      </w:r>
      <w:r>
        <w:rPr>
          <w:rFonts w:eastAsia="仿宋_GB2312"/>
          <w:b/>
          <w:sz w:val="28"/>
          <w:szCs w:val="28"/>
          <w:lang w:val="zh-CN"/>
        </w:rPr>
        <w:t>2</w:t>
      </w:r>
      <w:r>
        <w:rPr>
          <w:rFonts w:hint="eastAsia" w:eastAsia="仿宋_GB2312"/>
          <w:b/>
          <w:sz w:val="28"/>
          <w:szCs w:val="28"/>
          <w:lang w:val="zh-CN"/>
        </w:rPr>
        <w:t>)自考文凭过硬，国外高校认可:</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文凭含金量高。高等教育自学考试实行统考制，考试要求相对较高，因而社会认可度高，其学历也得到国际多个国家如美、英、澳、加等国高校的承认。</w:t>
      </w:r>
    </w:p>
    <w:p>
      <w:pPr>
        <w:spacing w:line="460" w:lineRule="exact"/>
        <w:jc w:val="left"/>
        <w:rPr>
          <w:rFonts w:eastAsia="仿宋_GB2312"/>
          <w:b/>
          <w:sz w:val="28"/>
          <w:szCs w:val="28"/>
          <w:lang w:val="zh-CN"/>
        </w:rPr>
      </w:pPr>
      <w:r>
        <w:rPr>
          <w:rFonts w:hint="eastAsia" w:eastAsia="仿宋_GB2312"/>
          <w:b/>
          <w:sz w:val="28"/>
          <w:szCs w:val="28"/>
          <w:lang w:val="zh-CN"/>
        </w:rPr>
        <w:t>(</w:t>
      </w:r>
      <w:r>
        <w:rPr>
          <w:rFonts w:eastAsia="仿宋_GB2312"/>
          <w:b/>
          <w:sz w:val="28"/>
          <w:szCs w:val="28"/>
          <w:lang w:val="zh-CN"/>
        </w:rPr>
        <w:t>3</w:t>
      </w:r>
      <w:r>
        <w:rPr>
          <w:rFonts w:hint="eastAsia" w:eastAsia="仿宋_GB2312"/>
          <w:b/>
          <w:sz w:val="28"/>
          <w:szCs w:val="28"/>
          <w:lang w:val="zh-CN"/>
        </w:rPr>
        <w:t>)教、学模式新颖，高效实用:</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教、学模式新颖灵活。利用线上和线下相结合、助学和自学相结合等教、学模式，形式灵活，高效实用，学生可利用业余时间自主学习，具有投入少、周期短、见效快、效益高等特点。</w:t>
      </w:r>
    </w:p>
    <w:p>
      <w:pPr>
        <w:spacing w:line="460" w:lineRule="exact"/>
        <w:jc w:val="left"/>
        <w:rPr>
          <w:rFonts w:eastAsia="仿宋_GB2312"/>
          <w:b/>
          <w:sz w:val="28"/>
          <w:szCs w:val="28"/>
          <w:lang w:val="zh-CN"/>
        </w:rPr>
      </w:pPr>
      <w:r>
        <w:rPr>
          <w:rFonts w:hint="eastAsia" w:eastAsia="仿宋_GB2312"/>
          <w:b/>
          <w:sz w:val="28"/>
          <w:szCs w:val="28"/>
          <w:lang w:val="zh-CN"/>
        </w:rPr>
        <w:t>(</w:t>
      </w:r>
      <w:r>
        <w:rPr>
          <w:rFonts w:eastAsia="仿宋_GB2312"/>
          <w:b/>
          <w:sz w:val="28"/>
          <w:szCs w:val="28"/>
          <w:lang w:val="zh-CN"/>
        </w:rPr>
        <w:t>4</w:t>
      </w:r>
      <w:r>
        <w:rPr>
          <w:rFonts w:hint="eastAsia" w:eastAsia="仿宋_GB2312"/>
          <w:b/>
          <w:sz w:val="28"/>
          <w:szCs w:val="28"/>
          <w:lang w:val="zh-CN"/>
        </w:rPr>
        <w:t>)助学系统完善，服务周全:</w:t>
      </w:r>
    </w:p>
    <w:p>
      <w:pPr>
        <w:spacing w:line="460" w:lineRule="exact"/>
        <w:ind w:firstLine="560" w:firstLineChars="200"/>
        <w:contextualSpacing/>
        <w:rPr>
          <w:rFonts w:eastAsia="仿宋_GB2312"/>
          <w:sz w:val="28"/>
          <w:szCs w:val="28"/>
          <w:lang w:val="zh-CN"/>
        </w:rPr>
      </w:pPr>
      <w:r>
        <w:rPr>
          <w:rFonts w:hint="eastAsia" w:eastAsia="仿宋_GB2312"/>
          <w:sz w:val="28"/>
          <w:szCs w:val="28"/>
          <w:lang w:val="zh-CN"/>
        </w:rPr>
        <w:t>助学系统完善。建有全方位、交互式的网络在线助学系统；组建教研团队，分析、研究不同课程的教学、考试和学生学习特点，不断完善助学的内容、方式和路径，贴心服务，助力学生轻松掌握知识。</w:t>
      </w:r>
    </w:p>
    <w:p>
      <w:pPr>
        <w:pStyle w:val="11"/>
        <w:spacing w:before="120" w:line="600" w:lineRule="exact"/>
        <w:jc w:val="left"/>
        <w:rPr>
          <w:rFonts w:hAnsi="黑体" w:eastAsia="黑体" w:asciiTheme="minorHAnsi" w:cstheme="minorBidi"/>
          <w:b w:val="0"/>
          <w:lang w:val="zh-CN"/>
        </w:rPr>
      </w:pPr>
      <w:bookmarkStart w:id="1" w:name="_Toc493751892"/>
      <w:r>
        <w:rPr>
          <w:rFonts w:hint="eastAsia" w:hAnsi="黑体" w:eastAsia="黑体" w:asciiTheme="minorHAnsi" w:cstheme="minorBidi"/>
          <w:b w:val="0"/>
          <w:lang w:val="zh-CN"/>
        </w:rPr>
        <w:t>二、招生管理</w:t>
      </w:r>
      <w:bookmarkEnd w:id="1"/>
    </w:p>
    <w:p>
      <w:pPr>
        <w:spacing w:line="480" w:lineRule="exact"/>
        <w:jc w:val="left"/>
        <w:rPr>
          <w:rFonts w:eastAsia="仿宋_GB2312"/>
          <w:b/>
          <w:sz w:val="28"/>
          <w:szCs w:val="28"/>
          <w:lang w:val="zh-CN"/>
        </w:rPr>
      </w:pPr>
      <w:r>
        <w:rPr>
          <w:rFonts w:hint="eastAsia" w:eastAsia="仿宋_GB2312"/>
          <w:b/>
          <w:sz w:val="28"/>
          <w:szCs w:val="28"/>
          <w:lang w:val="zh-CN"/>
        </w:rPr>
        <w:t>1</w:t>
      </w:r>
      <w:r>
        <w:rPr>
          <w:rFonts w:eastAsia="仿宋_GB2312"/>
          <w:b/>
          <w:sz w:val="28"/>
          <w:szCs w:val="28"/>
          <w:lang w:val="zh-CN"/>
        </w:rPr>
        <w:t>.</w:t>
      </w:r>
      <w:r>
        <w:rPr>
          <w:rFonts w:hint="eastAsia" w:eastAsia="仿宋_GB2312"/>
          <w:b/>
          <w:sz w:val="28"/>
          <w:szCs w:val="28"/>
          <w:lang w:val="zh-CN"/>
        </w:rPr>
        <w:t>招生专业</w:t>
      </w:r>
    </w:p>
    <w:tbl>
      <w:tblPr>
        <w:tblStyle w:val="15"/>
        <w:tblW w:w="85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9"/>
        <w:gridCol w:w="1569"/>
        <w:gridCol w:w="3140"/>
        <w:gridCol w:w="27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109" w:type="dxa"/>
            <w:vAlign w:val="center"/>
          </w:tcPr>
          <w:p>
            <w:pPr>
              <w:spacing w:line="480" w:lineRule="exact"/>
              <w:jc w:val="center"/>
              <w:rPr>
                <w:rFonts w:eastAsia="仿宋_GB2312"/>
                <w:sz w:val="28"/>
                <w:szCs w:val="28"/>
                <w:lang w:val="zh-CN"/>
              </w:rPr>
            </w:pPr>
            <w:r>
              <w:rPr>
                <w:rFonts w:hint="eastAsia" w:eastAsia="仿宋_GB2312"/>
                <w:sz w:val="28"/>
                <w:szCs w:val="28"/>
                <w:lang w:val="zh-CN"/>
              </w:rPr>
              <w:t>序号</w:t>
            </w:r>
          </w:p>
        </w:tc>
        <w:tc>
          <w:tcPr>
            <w:tcW w:w="1569" w:type="dxa"/>
            <w:vAlign w:val="center"/>
          </w:tcPr>
          <w:p>
            <w:pPr>
              <w:spacing w:line="480" w:lineRule="exact"/>
              <w:jc w:val="center"/>
              <w:rPr>
                <w:rFonts w:eastAsia="仿宋_GB2312"/>
                <w:sz w:val="28"/>
                <w:szCs w:val="28"/>
                <w:lang w:val="zh-CN"/>
              </w:rPr>
            </w:pPr>
            <w:r>
              <w:rPr>
                <w:rFonts w:hint="eastAsia" w:eastAsia="仿宋_GB2312"/>
                <w:sz w:val="28"/>
                <w:szCs w:val="28"/>
                <w:lang w:val="zh-CN"/>
              </w:rPr>
              <w:t>专业代码</w:t>
            </w:r>
          </w:p>
        </w:tc>
        <w:tc>
          <w:tcPr>
            <w:tcW w:w="3140" w:type="dxa"/>
            <w:vAlign w:val="center"/>
          </w:tcPr>
          <w:p>
            <w:pPr>
              <w:spacing w:line="480" w:lineRule="exact"/>
              <w:jc w:val="center"/>
              <w:rPr>
                <w:rFonts w:eastAsia="仿宋_GB2312"/>
                <w:sz w:val="28"/>
                <w:szCs w:val="28"/>
                <w:lang w:val="zh-CN"/>
              </w:rPr>
            </w:pPr>
            <w:r>
              <w:rPr>
                <w:rFonts w:hint="eastAsia" w:eastAsia="仿宋_GB2312"/>
                <w:sz w:val="28"/>
                <w:szCs w:val="28"/>
                <w:lang w:val="zh-CN"/>
              </w:rPr>
              <w:t>专业名称</w:t>
            </w:r>
          </w:p>
        </w:tc>
        <w:tc>
          <w:tcPr>
            <w:tcW w:w="2764" w:type="dxa"/>
            <w:vAlign w:val="center"/>
          </w:tcPr>
          <w:p>
            <w:pPr>
              <w:spacing w:line="480" w:lineRule="exact"/>
              <w:jc w:val="center"/>
              <w:rPr>
                <w:rFonts w:eastAsia="仿宋_GB2312"/>
                <w:sz w:val="28"/>
                <w:szCs w:val="28"/>
                <w:lang w:val="zh-CN"/>
              </w:rPr>
            </w:pPr>
            <w:r>
              <w:rPr>
                <w:rFonts w:hint="eastAsia" w:eastAsia="仿宋_GB2312"/>
                <w:sz w:val="28"/>
                <w:szCs w:val="28"/>
                <w:lang w:val="zh-CN"/>
              </w:rPr>
              <w:t>主考院校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109" w:type="dxa"/>
            <w:vAlign w:val="center"/>
          </w:tcPr>
          <w:p>
            <w:pPr>
              <w:spacing w:line="480" w:lineRule="exact"/>
              <w:jc w:val="center"/>
              <w:rPr>
                <w:rFonts w:eastAsia="仿宋_GB2312"/>
                <w:sz w:val="28"/>
                <w:szCs w:val="28"/>
                <w:lang w:val="zh-CN"/>
              </w:rPr>
            </w:pPr>
            <w:r>
              <w:rPr>
                <w:rFonts w:hint="eastAsia" w:eastAsia="仿宋_GB2312"/>
                <w:sz w:val="28"/>
                <w:szCs w:val="28"/>
                <w:lang w:val="zh-CN"/>
              </w:rPr>
              <w:t>1</w:t>
            </w:r>
          </w:p>
        </w:tc>
        <w:tc>
          <w:tcPr>
            <w:tcW w:w="1569" w:type="dxa"/>
            <w:vAlign w:val="center"/>
          </w:tcPr>
          <w:p>
            <w:pPr>
              <w:spacing w:line="480" w:lineRule="exact"/>
              <w:jc w:val="center"/>
              <w:rPr>
                <w:rFonts w:eastAsia="仿宋_GB2312"/>
                <w:sz w:val="28"/>
                <w:szCs w:val="28"/>
                <w:lang w:val="zh-CN"/>
              </w:rPr>
            </w:pPr>
            <w:r>
              <w:rPr>
                <w:rFonts w:hint="eastAsia" w:eastAsia="仿宋_GB2312"/>
                <w:sz w:val="28"/>
                <w:szCs w:val="28"/>
                <w:lang w:val="zh-CN"/>
              </w:rPr>
              <w:t>1020202</w:t>
            </w:r>
          </w:p>
        </w:tc>
        <w:tc>
          <w:tcPr>
            <w:tcW w:w="3140" w:type="dxa"/>
            <w:vAlign w:val="center"/>
          </w:tcPr>
          <w:p>
            <w:pPr>
              <w:spacing w:line="480" w:lineRule="exact"/>
              <w:jc w:val="center"/>
              <w:rPr>
                <w:rFonts w:eastAsia="仿宋_GB2312"/>
                <w:sz w:val="28"/>
                <w:szCs w:val="28"/>
                <w:lang w:val="zh-CN"/>
              </w:rPr>
            </w:pPr>
            <w:r>
              <w:rPr>
                <w:rFonts w:hint="eastAsia" w:eastAsia="仿宋_GB2312"/>
                <w:sz w:val="28"/>
                <w:szCs w:val="28"/>
                <w:lang w:val="zh-CN"/>
              </w:rPr>
              <w:t>工商企业管理</w:t>
            </w:r>
          </w:p>
        </w:tc>
        <w:tc>
          <w:tcPr>
            <w:tcW w:w="2764" w:type="dxa"/>
            <w:vAlign w:val="center"/>
          </w:tcPr>
          <w:p>
            <w:pPr>
              <w:spacing w:line="480" w:lineRule="exact"/>
              <w:jc w:val="center"/>
              <w:rPr>
                <w:rFonts w:eastAsia="仿宋_GB2312"/>
                <w:sz w:val="28"/>
                <w:szCs w:val="28"/>
                <w:lang w:val="zh-CN"/>
              </w:rPr>
            </w:pPr>
            <w:r>
              <w:rPr>
                <w:rFonts w:hint="eastAsia" w:eastAsia="仿宋_GB2312"/>
                <w:sz w:val="28"/>
                <w:szCs w:val="28"/>
                <w:lang w:val="zh-CN"/>
              </w:rPr>
              <w:t>浙江工商大学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109" w:type="dxa"/>
            <w:vAlign w:val="center"/>
          </w:tcPr>
          <w:p>
            <w:pPr>
              <w:spacing w:line="480" w:lineRule="exact"/>
              <w:jc w:val="center"/>
              <w:rPr>
                <w:rFonts w:eastAsia="仿宋_GB2312"/>
                <w:sz w:val="28"/>
                <w:szCs w:val="28"/>
                <w:lang w:val="zh-CN"/>
              </w:rPr>
            </w:pPr>
            <w:r>
              <w:rPr>
                <w:rFonts w:hint="eastAsia" w:eastAsia="仿宋_GB2312"/>
                <w:sz w:val="28"/>
                <w:szCs w:val="28"/>
                <w:lang w:val="zh-CN"/>
              </w:rPr>
              <w:t>2</w:t>
            </w:r>
          </w:p>
        </w:tc>
        <w:tc>
          <w:tcPr>
            <w:tcW w:w="1569" w:type="dxa"/>
            <w:vAlign w:val="center"/>
          </w:tcPr>
          <w:p>
            <w:pPr>
              <w:spacing w:line="480" w:lineRule="exact"/>
              <w:jc w:val="center"/>
              <w:rPr>
                <w:rFonts w:eastAsia="仿宋_GB2312"/>
                <w:sz w:val="28"/>
                <w:szCs w:val="28"/>
                <w:lang w:val="zh-CN"/>
              </w:rPr>
            </w:pPr>
            <w:r>
              <w:rPr>
                <w:rFonts w:hint="eastAsia" w:eastAsia="仿宋_GB2312"/>
                <w:sz w:val="28"/>
                <w:szCs w:val="28"/>
                <w:lang w:val="zh-CN"/>
              </w:rPr>
              <w:t>1020213</w:t>
            </w:r>
          </w:p>
        </w:tc>
        <w:tc>
          <w:tcPr>
            <w:tcW w:w="3140" w:type="dxa"/>
            <w:vAlign w:val="center"/>
          </w:tcPr>
          <w:p>
            <w:pPr>
              <w:spacing w:line="480" w:lineRule="exact"/>
              <w:jc w:val="center"/>
              <w:rPr>
                <w:rFonts w:eastAsia="仿宋_GB2312"/>
                <w:sz w:val="28"/>
                <w:szCs w:val="28"/>
                <w:lang w:val="zh-CN"/>
              </w:rPr>
            </w:pPr>
            <w:r>
              <w:rPr>
                <w:rFonts w:hint="eastAsia" w:eastAsia="仿宋_GB2312"/>
                <w:sz w:val="28"/>
                <w:szCs w:val="28"/>
                <w:lang w:val="zh-CN"/>
              </w:rPr>
              <w:t>企业财务管理</w:t>
            </w:r>
          </w:p>
        </w:tc>
        <w:tc>
          <w:tcPr>
            <w:tcW w:w="2764" w:type="dxa"/>
            <w:vAlign w:val="center"/>
          </w:tcPr>
          <w:p>
            <w:pPr>
              <w:spacing w:line="480" w:lineRule="exact"/>
              <w:jc w:val="center"/>
              <w:rPr>
                <w:rFonts w:eastAsia="仿宋_GB2312"/>
                <w:sz w:val="28"/>
                <w:szCs w:val="28"/>
                <w:lang w:val="zh-CN"/>
              </w:rPr>
            </w:pPr>
            <w:r>
              <w:rPr>
                <w:rFonts w:hint="eastAsia" w:eastAsia="仿宋_GB2312"/>
                <w:sz w:val="28"/>
                <w:szCs w:val="28"/>
                <w:lang w:val="zh-CN"/>
              </w:rPr>
              <w:t>浙江工商大学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109" w:type="dxa"/>
            <w:vAlign w:val="center"/>
          </w:tcPr>
          <w:p>
            <w:pPr>
              <w:spacing w:line="480" w:lineRule="exact"/>
              <w:jc w:val="center"/>
              <w:rPr>
                <w:rFonts w:eastAsia="仿宋_GB2312"/>
                <w:sz w:val="28"/>
                <w:szCs w:val="28"/>
                <w:lang w:val="zh-CN"/>
              </w:rPr>
            </w:pPr>
            <w:r>
              <w:rPr>
                <w:rFonts w:hint="eastAsia" w:eastAsia="仿宋_GB2312"/>
                <w:sz w:val="28"/>
                <w:szCs w:val="28"/>
                <w:lang w:val="zh-CN"/>
              </w:rPr>
              <w:t>3</w:t>
            </w:r>
          </w:p>
        </w:tc>
        <w:tc>
          <w:tcPr>
            <w:tcW w:w="1569" w:type="dxa"/>
            <w:vAlign w:val="center"/>
          </w:tcPr>
          <w:p>
            <w:pPr>
              <w:spacing w:line="480" w:lineRule="exact"/>
              <w:jc w:val="center"/>
              <w:rPr>
                <w:rFonts w:eastAsia="仿宋_GB2312"/>
                <w:sz w:val="28"/>
                <w:szCs w:val="28"/>
                <w:lang w:val="zh-CN"/>
              </w:rPr>
            </w:pPr>
            <w:r>
              <w:rPr>
                <w:rFonts w:hint="eastAsia" w:eastAsia="仿宋_GB2312"/>
                <w:sz w:val="28"/>
                <w:szCs w:val="28"/>
                <w:lang w:val="zh-CN"/>
              </w:rPr>
              <w:t>1020210</w:t>
            </w:r>
          </w:p>
        </w:tc>
        <w:tc>
          <w:tcPr>
            <w:tcW w:w="3140" w:type="dxa"/>
            <w:vAlign w:val="center"/>
          </w:tcPr>
          <w:p>
            <w:pPr>
              <w:spacing w:line="480" w:lineRule="exact"/>
              <w:jc w:val="center"/>
              <w:rPr>
                <w:rFonts w:eastAsia="仿宋_GB2312"/>
                <w:sz w:val="28"/>
                <w:szCs w:val="28"/>
                <w:lang w:val="zh-CN"/>
              </w:rPr>
            </w:pPr>
            <w:r>
              <w:rPr>
                <w:rFonts w:hint="eastAsia" w:eastAsia="仿宋_GB2312"/>
                <w:sz w:val="28"/>
                <w:szCs w:val="28"/>
                <w:lang w:val="zh-CN"/>
              </w:rPr>
              <w:t>旅游管理</w:t>
            </w:r>
          </w:p>
        </w:tc>
        <w:tc>
          <w:tcPr>
            <w:tcW w:w="2764" w:type="dxa"/>
            <w:vAlign w:val="center"/>
          </w:tcPr>
          <w:p>
            <w:pPr>
              <w:spacing w:line="480" w:lineRule="exact"/>
              <w:jc w:val="center"/>
              <w:rPr>
                <w:rFonts w:eastAsia="仿宋_GB2312"/>
                <w:sz w:val="28"/>
                <w:szCs w:val="28"/>
                <w:lang w:val="zh-CN"/>
              </w:rPr>
            </w:pPr>
            <w:r>
              <w:rPr>
                <w:rFonts w:hint="eastAsia" w:eastAsia="仿宋_GB2312"/>
                <w:sz w:val="28"/>
                <w:szCs w:val="28"/>
                <w:lang w:val="zh-CN"/>
              </w:rPr>
              <w:t>浙江工商大学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5" w:hRule="atLeast"/>
        </w:trPr>
        <w:tc>
          <w:tcPr>
            <w:tcW w:w="1109" w:type="dxa"/>
            <w:vAlign w:val="center"/>
          </w:tcPr>
          <w:p>
            <w:pPr>
              <w:spacing w:line="480" w:lineRule="exact"/>
              <w:jc w:val="center"/>
              <w:rPr>
                <w:rFonts w:eastAsia="仿宋_GB2312"/>
                <w:sz w:val="28"/>
                <w:szCs w:val="28"/>
                <w:lang w:val="zh-CN"/>
              </w:rPr>
            </w:pPr>
            <w:r>
              <w:rPr>
                <w:rFonts w:hint="eastAsia" w:eastAsia="仿宋_GB2312"/>
                <w:sz w:val="28"/>
                <w:szCs w:val="28"/>
                <w:lang w:val="zh-CN"/>
              </w:rPr>
              <w:t>4</w:t>
            </w:r>
          </w:p>
        </w:tc>
        <w:tc>
          <w:tcPr>
            <w:tcW w:w="1569" w:type="dxa"/>
            <w:vAlign w:val="center"/>
          </w:tcPr>
          <w:p>
            <w:pPr>
              <w:spacing w:line="480" w:lineRule="exact"/>
              <w:jc w:val="center"/>
              <w:rPr>
                <w:rFonts w:eastAsia="仿宋_GB2312"/>
                <w:sz w:val="28"/>
                <w:szCs w:val="28"/>
                <w:lang w:val="zh-CN"/>
              </w:rPr>
            </w:pPr>
            <w:r>
              <w:rPr>
                <w:rFonts w:eastAsia="仿宋_GB2312"/>
                <w:sz w:val="28"/>
                <w:szCs w:val="28"/>
                <w:lang w:val="zh-CN"/>
              </w:rPr>
              <w:t>1020216</w:t>
            </w:r>
          </w:p>
        </w:tc>
        <w:tc>
          <w:tcPr>
            <w:tcW w:w="3140" w:type="dxa"/>
            <w:vAlign w:val="center"/>
          </w:tcPr>
          <w:p>
            <w:pPr>
              <w:spacing w:line="480" w:lineRule="exact"/>
              <w:jc w:val="center"/>
              <w:rPr>
                <w:rFonts w:eastAsia="仿宋_GB2312"/>
                <w:sz w:val="28"/>
                <w:szCs w:val="28"/>
                <w:lang w:val="zh-CN"/>
              </w:rPr>
            </w:pPr>
            <w:r>
              <w:rPr>
                <w:rFonts w:hint="eastAsia" w:eastAsia="仿宋_GB2312"/>
                <w:sz w:val="28"/>
                <w:szCs w:val="28"/>
                <w:lang w:val="zh-CN"/>
              </w:rPr>
              <w:t>电子商务</w:t>
            </w:r>
          </w:p>
        </w:tc>
        <w:tc>
          <w:tcPr>
            <w:tcW w:w="2764" w:type="dxa"/>
            <w:vAlign w:val="center"/>
          </w:tcPr>
          <w:p>
            <w:pPr>
              <w:spacing w:line="480" w:lineRule="exact"/>
              <w:jc w:val="center"/>
              <w:rPr>
                <w:rFonts w:eastAsia="仿宋_GB2312"/>
                <w:sz w:val="28"/>
                <w:szCs w:val="28"/>
                <w:lang w:val="zh-CN"/>
              </w:rPr>
            </w:pPr>
            <w:r>
              <w:rPr>
                <w:rFonts w:hint="eastAsia" w:eastAsia="仿宋_GB2312"/>
                <w:sz w:val="28"/>
                <w:szCs w:val="28"/>
                <w:lang w:val="zh-CN"/>
              </w:rPr>
              <w:t>浙江工商大学</w:t>
            </w:r>
          </w:p>
        </w:tc>
      </w:tr>
    </w:tbl>
    <w:p>
      <w:pPr>
        <w:spacing w:beforeLines="100" w:line="480" w:lineRule="exact"/>
        <w:jc w:val="left"/>
        <w:rPr>
          <w:rFonts w:eastAsia="仿宋_GB2312"/>
          <w:b/>
          <w:sz w:val="28"/>
          <w:szCs w:val="28"/>
          <w:lang w:val="zh-CN"/>
        </w:rPr>
      </w:pPr>
      <w:r>
        <w:rPr>
          <w:rFonts w:hint="eastAsia" w:eastAsia="仿宋_GB2312"/>
          <w:b/>
          <w:sz w:val="28"/>
          <w:szCs w:val="28"/>
          <w:lang w:val="zh-CN"/>
        </w:rPr>
        <w:t>2.招生工作</w:t>
      </w:r>
    </w:p>
    <w:p>
      <w:pPr>
        <w:spacing w:line="480" w:lineRule="exact"/>
        <w:ind w:firstLine="560" w:firstLineChars="200"/>
        <w:contextualSpacing/>
        <w:rPr>
          <w:rFonts w:eastAsia="仿宋_GB2312"/>
          <w:sz w:val="28"/>
          <w:szCs w:val="28"/>
          <w:lang w:val="zh-CN"/>
        </w:rPr>
      </w:pPr>
      <w:r>
        <w:rPr>
          <w:rFonts w:hint="eastAsia" w:eastAsia="仿宋_GB2312"/>
          <w:sz w:val="28"/>
          <w:szCs w:val="28"/>
          <w:lang w:val="zh-CN"/>
        </w:rPr>
        <w:t>浙江工商大学专本衔接招生对象为高职院校在校生或其他教育机构经全国成人高等教育统一招生考试录取的在籍专科层次学生。生源组织工作以学生所在学校为主，浙江工商大学继续教育学院与在线学习平台管理维护机构协助高职院校做好招生宣传、推广工作。专本衔接招生以学生自愿参加为原则。招生工作一年二次，分春季招生和秋季招生（简称春季班和秋季班），春季招生5月底前完成，秋季招生11月底前完成。招生人数不足40人的专业，不予开班。</w:t>
      </w:r>
    </w:p>
    <w:p>
      <w:pPr>
        <w:pStyle w:val="11"/>
        <w:spacing w:before="120" w:line="600" w:lineRule="exact"/>
        <w:jc w:val="left"/>
        <w:rPr>
          <w:rFonts w:hAnsi="黑体" w:eastAsia="黑体" w:asciiTheme="minorHAnsi" w:cstheme="minorBidi"/>
          <w:b w:val="0"/>
          <w:lang w:val="zh-CN"/>
        </w:rPr>
      </w:pPr>
      <w:bookmarkStart w:id="2" w:name="_Toc493751893"/>
      <w:r>
        <w:rPr>
          <w:rFonts w:hint="eastAsia" w:hAnsi="黑体" w:eastAsia="黑体" w:asciiTheme="minorHAnsi" w:cstheme="minorBidi"/>
          <w:b w:val="0"/>
          <w:lang w:val="zh-CN"/>
        </w:rPr>
        <w:t>三、教学管理与服务</w:t>
      </w:r>
      <w:bookmarkEnd w:id="2"/>
    </w:p>
    <w:p>
      <w:pPr>
        <w:spacing w:line="460" w:lineRule="exact"/>
        <w:jc w:val="left"/>
        <w:rPr>
          <w:rFonts w:eastAsia="仿宋_GB2312"/>
          <w:b/>
          <w:sz w:val="28"/>
          <w:szCs w:val="28"/>
          <w:lang w:val="zh-CN"/>
        </w:rPr>
      </w:pPr>
      <w:r>
        <w:rPr>
          <w:rFonts w:hint="eastAsia" w:eastAsia="仿宋_GB2312"/>
          <w:b/>
          <w:sz w:val="28"/>
          <w:szCs w:val="28"/>
          <w:lang w:val="zh-CN"/>
        </w:rPr>
        <w:t>1.教学服务</w:t>
      </w:r>
    </w:p>
    <w:p>
      <w:pPr>
        <w:spacing w:line="460" w:lineRule="exact"/>
        <w:jc w:val="left"/>
        <w:rPr>
          <w:rFonts w:eastAsia="仿宋_GB2312"/>
          <w:sz w:val="28"/>
          <w:szCs w:val="28"/>
          <w:lang w:val="zh-CN"/>
        </w:rPr>
      </w:pPr>
      <w:r>
        <w:rPr>
          <w:rFonts w:hint="eastAsia" w:eastAsia="仿宋_GB2312"/>
          <w:sz w:val="28"/>
          <w:szCs w:val="28"/>
          <w:lang w:val="zh-CN"/>
        </w:rPr>
        <w:t>(</w:t>
      </w:r>
      <w:r>
        <w:rPr>
          <w:rFonts w:eastAsia="仿宋_GB2312"/>
          <w:sz w:val="28"/>
          <w:szCs w:val="28"/>
          <w:lang w:val="zh-CN"/>
        </w:rPr>
        <w:t>1)</w:t>
      </w:r>
      <w:r>
        <w:rPr>
          <w:rFonts w:hint="eastAsia" w:eastAsia="仿宋_GB2312"/>
          <w:sz w:val="28"/>
          <w:szCs w:val="28"/>
          <w:lang w:val="zh-CN"/>
        </w:rPr>
        <w:t>七大教研指南:</w:t>
      </w:r>
    </w:p>
    <w:p>
      <w:pPr>
        <w:pStyle w:val="25"/>
        <w:spacing w:line="460" w:lineRule="exact"/>
        <w:ind w:firstLine="560"/>
        <w:rPr>
          <w:rFonts w:eastAsia="仿宋_GB2312"/>
          <w:sz w:val="28"/>
          <w:szCs w:val="28"/>
          <w:lang w:val="zh-CN"/>
        </w:rPr>
      </w:pPr>
      <w:r>
        <w:rPr>
          <w:rFonts w:hint="eastAsia" w:eastAsia="仿宋_GB2312"/>
          <w:sz w:val="28"/>
          <w:szCs w:val="28"/>
          <w:lang w:val="zh-CN"/>
        </w:rPr>
        <w:t>①配套讲义：资深教研团队根据考纲提炼考点、重点，精确到位，学员更易了解要点。讲义依据最新考试大纲，提炼汇总教材重要知识点，多考多讲、少考少讲；繁冗知识点以表格形式呈现，建立知识框架体系，理清考点难点；每章均提供思维导图，列明知识结构，相应考点，助考生掌握知识层次，提高复习效率；知识点搭配典型真题，学练结合，助考生提前演练考试，轻松备考。</w:t>
      </w:r>
    </w:p>
    <w:p>
      <w:pPr>
        <w:spacing w:line="460" w:lineRule="exact"/>
        <w:ind w:firstLine="560" w:firstLineChars="200"/>
        <w:rPr>
          <w:rFonts w:eastAsia="仿宋_GB2312"/>
          <w:sz w:val="28"/>
          <w:szCs w:val="28"/>
          <w:lang w:val="zh-CN"/>
        </w:rPr>
      </w:pPr>
      <w:r>
        <w:rPr>
          <w:rFonts w:hint="eastAsia" w:eastAsia="仿宋_GB2312"/>
          <w:sz w:val="28"/>
          <w:szCs w:val="28"/>
          <w:lang w:val="zh-CN"/>
        </w:rPr>
        <w:t>②预测模拟：教研老师根据多年研究经验，精编5套预测试卷，考生通过模拟试卷的演练，再次巩固重要考点，查漏补缺，有针对性加强学习；5套预测试卷涵盖了考试大纲重要知识点，力争“好的习题+好的学习方法”，助考生达到事半功倍的效果。</w:t>
      </w:r>
    </w:p>
    <w:p>
      <w:pPr>
        <w:spacing w:line="460" w:lineRule="exact"/>
        <w:ind w:firstLine="560" w:firstLineChars="200"/>
        <w:rPr>
          <w:rFonts w:eastAsia="仿宋_GB2312"/>
          <w:sz w:val="28"/>
          <w:szCs w:val="28"/>
          <w:lang w:val="zh-CN"/>
        </w:rPr>
      </w:pPr>
      <w:r>
        <w:rPr>
          <w:rFonts w:hint="eastAsia" w:eastAsia="仿宋_GB2312"/>
          <w:sz w:val="28"/>
          <w:szCs w:val="28"/>
          <w:lang w:val="zh-CN"/>
        </w:rPr>
        <w:t>③历年真题：每门课程至少提供10套最新真题解析，考生通过真题演练，总结出题规律，把握命题趋势，对高频考点重点突破；每套真题均配套答案解析及对应教材页码，考生可对易错考点同步查找教材相应知识点，举一反三，触类旁通。通过对历年真题进行专业的解析，让学员快速掌握考试技能，轻松应对。</w:t>
      </w:r>
    </w:p>
    <w:p>
      <w:pPr>
        <w:spacing w:line="460" w:lineRule="exact"/>
        <w:ind w:firstLine="560" w:firstLineChars="200"/>
        <w:rPr>
          <w:rFonts w:eastAsia="仿宋_GB2312"/>
          <w:sz w:val="28"/>
          <w:szCs w:val="28"/>
          <w:lang w:val="zh-CN"/>
        </w:rPr>
      </w:pPr>
      <w:r>
        <w:rPr>
          <w:rFonts w:hint="eastAsia" w:eastAsia="仿宋_GB2312"/>
          <w:sz w:val="28"/>
          <w:szCs w:val="28"/>
          <w:lang w:val="zh-CN"/>
        </w:rPr>
        <w:t>④教学教案：通过对每章重点进行剖析提炼，将高频考点以思维导读的形式进行提炼，以助面授老师更好的提炼重点，植入教学加以应用。</w:t>
      </w:r>
    </w:p>
    <w:p>
      <w:pPr>
        <w:spacing w:line="460" w:lineRule="exact"/>
        <w:ind w:firstLine="560" w:firstLineChars="200"/>
        <w:rPr>
          <w:rFonts w:eastAsia="仿宋_GB2312"/>
          <w:sz w:val="28"/>
          <w:szCs w:val="28"/>
          <w:lang w:val="zh-CN"/>
        </w:rPr>
      </w:pPr>
      <w:r>
        <w:rPr>
          <w:rFonts w:hint="eastAsia" w:eastAsia="仿宋_GB2312"/>
          <w:sz w:val="28"/>
          <w:szCs w:val="28"/>
          <w:lang w:val="zh-CN"/>
        </w:rPr>
        <w:t>⑤考前助学：通过冲刺教学的模式，浓缩知识点进行教学，主要以习题练习为主，再引申相关知识点，让学生如临考场，同时巩固高频考点，为考试加油助威。</w:t>
      </w:r>
    </w:p>
    <w:p>
      <w:pPr>
        <w:spacing w:line="460" w:lineRule="exact"/>
        <w:ind w:firstLine="560" w:firstLineChars="200"/>
        <w:rPr>
          <w:rFonts w:eastAsia="仿宋_GB2312"/>
          <w:sz w:val="28"/>
          <w:szCs w:val="28"/>
          <w:lang w:val="zh-CN"/>
        </w:rPr>
      </w:pPr>
      <w:r>
        <w:rPr>
          <w:rFonts w:hint="eastAsia" w:eastAsia="仿宋_GB2312"/>
          <w:sz w:val="28"/>
          <w:szCs w:val="28"/>
          <w:lang w:val="zh-CN"/>
        </w:rPr>
        <w:t>⑥直播教学：直播软件的开发，在教学上利用网络进行互动教学，视听结合，趣中见效；课后视频储存，便于回放。</w:t>
      </w:r>
    </w:p>
    <w:p>
      <w:pPr>
        <w:spacing w:line="460" w:lineRule="exact"/>
        <w:ind w:firstLine="560" w:firstLineChars="200"/>
        <w:rPr>
          <w:rFonts w:eastAsia="仿宋_GB2312"/>
          <w:sz w:val="28"/>
          <w:szCs w:val="28"/>
          <w:lang w:val="zh-CN"/>
        </w:rPr>
      </w:pPr>
      <w:r>
        <w:rPr>
          <w:rFonts w:hint="eastAsia" w:eastAsia="仿宋_GB2312"/>
          <w:sz w:val="28"/>
          <w:szCs w:val="28"/>
          <w:lang w:val="zh-CN"/>
        </w:rPr>
        <w:t>⑦学科答疑：专业教研老师答疑，举一反三，直击考点，答疑过程中，除了题目本身的讲解，老师还会结合相关考点进行分析，帮助学生触类旁通。</w:t>
      </w:r>
    </w:p>
    <w:p>
      <w:pPr>
        <w:spacing w:line="460" w:lineRule="exact"/>
        <w:jc w:val="left"/>
        <w:rPr>
          <w:rFonts w:eastAsia="仿宋_GB2312"/>
          <w:sz w:val="28"/>
          <w:szCs w:val="28"/>
          <w:lang w:val="zh-CN"/>
        </w:rPr>
      </w:pPr>
      <w:r>
        <w:rPr>
          <w:rFonts w:hint="eastAsia" w:eastAsia="仿宋_GB2312"/>
          <w:sz w:val="28"/>
          <w:szCs w:val="28"/>
          <w:lang w:val="zh-CN"/>
        </w:rPr>
        <w:t>(</w:t>
      </w:r>
      <w:r>
        <w:rPr>
          <w:rFonts w:eastAsia="仿宋_GB2312"/>
          <w:sz w:val="28"/>
          <w:szCs w:val="28"/>
          <w:lang w:val="zh-CN"/>
        </w:rPr>
        <w:t>2</w:t>
      </w:r>
      <w:r>
        <w:rPr>
          <w:rFonts w:hint="eastAsia" w:eastAsia="仿宋_GB2312"/>
          <w:sz w:val="28"/>
          <w:szCs w:val="28"/>
          <w:lang w:val="zh-CN"/>
        </w:rPr>
        <w:t>)五大贴心服务:</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①平台管理：PC端、移动端，通过平台进行学生管理、数据分析，学员可在线听课、过程考核，学习形式灵活；</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②线上课程：随时随地通过网络进行在线学习，帮助学生有效掌握知识点和考点。</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③助学管理：一站式管理，从学员报名至毕业全程跟踪式管理，实时指导学习、报考、疑问解答等，助力学习、考试至顺利毕业。</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④报考指南：提供自考课程报考、免考、毕业申报指导工作，优化完善。</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⑤在线咨询：专业团队全程服务、教学指导；实时进行在线疑问解答。</w:t>
      </w:r>
    </w:p>
    <w:p>
      <w:pPr>
        <w:spacing w:beforeLines="50" w:line="460" w:lineRule="exact"/>
        <w:jc w:val="left"/>
        <w:rPr>
          <w:rFonts w:eastAsia="仿宋_GB2312"/>
          <w:b/>
          <w:sz w:val="28"/>
          <w:szCs w:val="28"/>
          <w:lang w:val="zh-CN"/>
        </w:rPr>
      </w:pPr>
      <w:r>
        <w:rPr>
          <w:rFonts w:hint="eastAsia" w:eastAsia="仿宋_GB2312"/>
          <w:b/>
          <w:sz w:val="28"/>
          <w:szCs w:val="28"/>
          <w:lang w:val="zh-CN"/>
        </w:rPr>
        <w:t>2.教学组织</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课程报名后，学生所在院校要按自考教学大纲认真组织安排各门课程的教学，教学时数不得少于教学计划分配时数。</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统考课程在学生所在院校组织教学的基础上（统考课程安排40课时），结合平台授课，考前由平台机构整理应试重点，在已安排40课时的统考课程中植入12课时，由学生所在院校指定教师做好考前辅导、串讲；</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（2）衔接课程（公共基础课）由学生所在院校组织教学工作。每个学分安排18-20课时，英语（二）要安排三个学期；</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（3）实践课程在学生所在院校组织教学的基础上（实践课程安排20课时），考前由浙江工商大学继续教育学院安排老师进行辅导、串讲。</w:t>
      </w:r>
    </w:p>
    <w:p>
      <w:pPr>
        <w:spacing w:beforeLines="50" w:line="460" w:lineRule="exact"/>
        <w:jc w:val="left"/>
        <w:rPr>
          <w:rFonts w:eastAsia="仿宋_GB2312"/>
          <w:b/>
          <w:sz w:val="28"/>
          <w:szCs w:val="28"/>
          <w:lang w:val="zh-CN"/>
        </w:rPr>
      </w:pPr>
      <w:r>
        <w:rPr>
          <w:rFonts w:hint="eastAsia" w:eastAsia="仿宋_GB2312"/>
          <w:b/>
          <w:sz w:val="28"/>
          <w:szCs w:val="28"/>
          <w:lang w:val="zh-CN"/>
        </w:rPr>
        <w:t>3.教材</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统考课程所用教材在课程报名时向当地考试院订购，实践课程所用教材按考核大纲推荐教材自行订购。</w:t>
      </w:r>
    </w:p>
    <w:p>
      <w:pPr>
        <w:spacing w:beforeLines="50" w:line="460" w:lineRule="exact"/>
        <w:jc w:val="left"/>
        <w:rPr>
          <w:rFonts w:eastAsia="仿宋_GB2312"/>
          <w:sz w:val="28"/>
          <w:szCs w:val="28"/>
          <w:lang w:val="zh-CN"/>
        </w:rPr>
      </w:pPr>
      <w:r>
        <w:rPr>
          <w:rFonts w:hint="eastAsia" w:eastAsia="仿宋_GB2312"/>
          <w:b/>
          <w:sz w:val="28"/>
          <w:szCs w:val="28"/>
          <w:lang w:val="zh-CN"/>
        </w:rPr>
        <w:t>4.教学计划（见附件一）</w:t>
      </w:r>
      <w:r>
        <w:rPr>
          <w:rFonts w:hint="eastAsia" w:eastAsia="仿宋_GB2312"/>
          <w:sz w:val="28"/>
          <w:szCs w:val="28"/>
          <w:lang w:val="zh-CN"/>
        </w:rPr>
        <w:t>。</w:t>
      </w:r>
    </w:p>
    <w:p>
      <w:pPr>
        <w:pStyle w:val="11"/>
        <w:spacing w:line="460" w:lineRule="exact"/>
        <w:jc w:val="left"/>
        <w:rPr>
          <w:rFonts w:hAnsi="黑体" w:eastAsia="黑体" w:asciiTheme="minorHAnsi" w:cstheme="minorBidi"/>
          <w:b w:val="0"/>
          <w:lang w:val="zh-CN"/>
        </w:rPr>
      </w:pPr>
      <w:bookmarkStart w:id="3" w:name="_Toc493751894"/>
      <w:r>
        <w:rPr>
          <w:rFonts w:hint="eastAsia" w:hAnsi="黑体" w:eastAsia="黑体" w:asciiTheme="minorHAnsi" w:cstheme="minorBidi"/>
          <w:b w:val="0"/>
          <w:lang w:val="zh-CN"/>
        </w:rPr>
        <w:t>四、考务管理</w:t>
      </w:r>
      <w:bookmarkEnd w:id="3"/>
    </w:p>
    <w:p>
      <w:pPr>
        <w:spacing w:line="460" w:lineRule="exact"/>
        <w:jc w:val="left"/>
        <w:rPr>
          <w:rFonts w:eastAsia="仿宋_GB2312"/>
          <w:b/>
          <w:sz w:val="28"/>
          <w:szCs w:val="28"/>
          <w:lang w:val="zh-CN"/>
        </w:rPr>
      </w:pPr>
      <w:r>
        <w:rPr>
          <w:rFonts w:hint="eastAsia" w:eastAsia="仿宋_GB2312"/>
          <w:b/>
          <w:sz w:val="28"/>
          <w:szCs w:val="28"/>
          <w:lang w:val="zh-CN"/>
        </w:rPr>
        <w:t>1.组织办理自考集体报名手续</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本项目是采用自学考试培养方案，通过合理设计课程，最后取得自学考试文凭。招生后学生所在院校首先要到各地、市考试院（按考试院要求）办理报名手续（可申请集体报名点），获取自考准考证。报名时间：春季班一般为7月初（办理10月份准考证），秋季班一般为1月初（办理4月份准考证），准确时间见当地考试院通知。各专业均按教学计划安排要求报考。</w:t>
      </w:r>
    </w:p>
    <w:p>
      <w:pPr>
        <w:spacing w:beforeLines="50" w:line="460" w:lineRule="exact"/>
        <w:jc w:val="left"/>
        <w:rPr>
          <w:rFonts w:eastAsia="仿宋_GB2312"/>
          <w:b/>
          <w:sz w:val="28"/>
          <w:szCs w:val="28"/>
          <w:lang w:val="zh-CN"/>
        </w:rPr>
      </w:pPr>
      <w:r>
        <w:rPr>
          <w:rFonts w:hint="eastAsia" w:eastAsia="仿宋_GB2312"/>
          <w:b/>
          <w:sz w:val="28"/>
          <w:szCs w:val="28"/>
          <w:lang w:val="zh-CN"/>
        </w:rPr>
        <w:t>2.课程报名</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根据专业教学计划学期分配课程分别报名。</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（1）统考课程和实践课程每年1月、7月到当地考试院报名（准确时间见当地考试院通知）；</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（2）实践课程（含毕业论文）报名要求在报考试院的同时报浙江工商大学继续教育学院，报名格式（见附件二）。</w:t>
      </w:r>
    </w:p>
    <w:p>
      <w:pPr>
        <w:spacing w:line="460" w:lineRule="exact"/>
        <w:jc w:val="left"/>
        <w:rPr>
          <w:rFonts w:eastAsia="仿宋_GB2312"/>
          <w:b/>
          <w:sz w:val="28"/>
          <w:szCs w:val="28"/>
          <w:lang w:val="zh-CN"/>
        </w:rPr>
      </w:pPr>
      <w:r>
        <w:rPr>
          <w:rFonts w:hint="eastAsia" w:eastAsia="仿宋_GB2312"/>
          <w:b/>
          <w:sz w:val="28"/>
          <w:szCs w:val="28"/>
          <w:lang w:val="zh-CN"/>
        </w:rPr>
        <w:t>3.免考课程（公共基础课）办理手续</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凭专科毕业证书原件和学校出具的成绩单（总表，学校盖章），在本科毕业前到当地考试院办理免考（每年的3月或9月办理，具体时间咨询当地考试院），考试院出具免考成绩单。</w:t>
      </w:r>
    </w:p>
    <w:p>
      <w:pPr>
        <w:spacing w:beforeLines="50" w:line="460" w:lineRule="exact"/>
        <w:jc w:val="left"/>
        <w:rPr>
          <w:rFonts w:eastAsia="仿宋_GB2312"/>
          <w:b/>
          <w:sz w:val="28"/>
          <w:szCs w:val="28"/>
          <w:lang w:val="zh-CN"/>
        </w:rPr>
      </w:pPr>
      <w:r>
        <w:rPr>
          <w:rFonts w:hint="eastAsia" w:eastAsia="仿宋_GB2312"/>
          <w:b/>
          <w:sz w:val="28"/>
          <w:szCs w:val="28"/>
          <w:lang w:val="zh-CN"/>
        </w:rPr>
        <w:t>4.考试形式</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（1）省考：由浙江省自考委统一组织的考试；</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（2）省考（过程性评价）：该课程30%在浙江工商大学继续教育学院的助学平台上参与学习和阶段测验与综合测验，省考70%的成绩与之相加得出最终成绩(见附件三)；</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（3）免考：专科段已按规定修完该课程，可按规定申请免考；</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（4）实践考核：受浙江省自考委的委托由浙江工商大学继续教育学院制定实践操作考核标准，浙江工商大学继续教育学院组织考核。</w:t>
      </w:r>
    </w:p>
    <w:p>
      <w:pPr>
        <w:spacing w:beforeLines="50" w:line="460" w:lineRule="exact"/>
        <w:jc w:val="left"/>
        <w:rPr>
          <w:rFonts w:eastAsia="仿宋_GB2312"/>
          <w:b/>
          <w:sz w:val="28"/>
          <w:szCs w:val="28"/>
          <w:lang w:val="zh-CN"/>
        </w:rPr>
      </w:pPr>
      <w:r>
        <w:rPr>
          <w:rFonts w:hint="eastAsia" w:eastAsia="仿宋_GB2312"/>
          <w:b/>
          <w:sz w:val="28"/>
          <w:szCs w:val="28"/>
          <w:lang w:val="zh-CN"/>
        </w:rPr>
        <w:t>5.考试组织</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（1）统考课程参加当地考试院组织的考试；</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（2）衔接课程（公共基础课）由学生所在院校组织测试，成绩计入毕业生毕业成绩总表；</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（3）实践课程由浙江工商大学继续教育学院组织考试。</w:t>
      </w:r>
    </w:p>
    <w:p>
      <w:pPr>
        <w:pStyle w:val="11"/>
        <w:spacing w:line="460" w:lineRule="exact"/>
        <w:jc w:val="left"/>
        <w:rPr>
          <w:rFonts w:hAnsi="黑体" w:eastAsia="黑体" w:asciiTheme="minorHAnsi" w:cstheme="minorBidi"/>
          <w:b w:val="0"/>
          <w:lang w:val="zh-CN"/>
        </w:rPr>
      </w:pPr>
      <w:bookmarkStart w:id="4" w:name="_Toc493751895"/>
      <w:r>
        <w:rPr>
          <w:rFonts w:hint="eastAsia" w:hAnsi="黑体" w:eastAsia="黑体" w:asciiTheme="minorHAnsi" w:cstheme="minorBidi"/>
          <w:b w:val="0"/>
          <w:lang w:val="zh-CN"/>
        </w:rPr>
        <w:t>五、学籍管理</w:t>
      </w:r>
      <w:bookmarkEnd w:id="4"/>
    </w:p>
    <w:p>
      <w:pPr>
        <w:spacing w:line="460" w:lineRule="exact"/>
        <w:jc w:val="left"/>
        <w:rPr>
          <w:rFonts w:eastAsia="仿宋_GB2312"/>
          <w:b/>
          <w:sz w:val="28"/>
          <w:szCs w:val="28"/>
          <w:lang w:val="zh-CN"/>
        </w:rPr>
      </w:pPr>
      <w:r>
        <w:rPr>
          <w:rFonts w:hint="eastAsia" w:eastAsia="仿宋_GB2312"/>
          <w:b/>
          <w:sz w:val="28"/>
          <w:szCs w:val="28"/>
          <w:lang w:val="zh-CN"/>
        </w:rPr>
        <w:t>1.学生名册</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学生所在院校要将参加专本衔接的学生名单，按照规定格式在首次集体报名结束后报浙江工商大学继续教育学院，并将学生相关信息导入网络助学平台的学生管理平台，由浙江工商大学继续教育学院报省考试院备案。若专本衔接合作班学生出现调整, 学生所在院校应及时告知浙江工商大学继续教育学院并在网络助学平台中的学生管理平台里及时更新。</w:t>
      </w:r>
    </w:p>
    <w:p>
      <w:pPr>
        <w:spacing w:beforeLines="50" w:line="460" w:lineRule="exact"/>
        <w:jc w:val="left"/>
        <w:rPr>
          <w:rFonts w:eastAsia="仿宋_GB2312"/>
          <w:b/>
          <w:sz w:val="28"/>
          <w:szCs w:val="28"/>
          <w:lang w:val="zh-CN"/>
        </w:rPr>
      </w:pPr>
      <w:r>
        <w:rPr>
          <w:rFonts w:hint="eastAsia" w:eastAsia="仿宋_GB2312"/>
          <w:b/>
          <w:sz w:val="28"/>
          <w:szCs w:val="28"/>
          <w:lang w:val="zh-CN"/>
        </w:rPr>
        <w:t>2.考试成绩</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（1）统考课程由学生参加全省统一组织的自学考试，其成绩由学生所在院校留存并将成绩导入网络助学平台；</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（2）选修课程的统考课程参加学校过程性评价，由平台机构负责报名及考核，其成绩由平台实时记录，最终应用于统考成绩，所占比重为30%；</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（3）衔接课程由学生所在院校统一组织学生进行考试和考核，并将成绩导入助学平台并留存成绩备查；</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（4）实践课程由浙江工商大学继续教育学院组织考试或考核并将成绩导入助学平台。</w:t>
      </w:r>
    </w:p>
    <w:p>
      <w:pPr>
        <w:spacing w:beforeLines="50" w:line="460" w:lineRule="exact"/>
        <w:jc w:val="left"/>
        <w:rPr>
          <w:rFonts w:eastAsia="仿宋_GB2312"/>
          <w:b/>
          <w:sz w:val="28"/>
          <w:szCs w:val="28"/>
          <w:lang w:val="zh-CN"/>
        </w:rPr>
      </w:pPr>
      <w:r>
        <w:rPr>
          <w:rFonts w:hint="eastAsia" w:eastAsia="仿宋_GB2312"/>
          <w:b/>
          <w:sz w:val="28"/>
          <w:szCs w:val="28"/>
          <w:lang w:val="zh-CN"/>
        </w:rPr>
        <w:t>3</w:t>
      </w:r>
      <w:r>
        <w:rPr>
          <w:rFonts w:eastAsia="仿宋_GB2312"/>
          <w:b/>
          <w:sz w:val="28"/>
          <w:szCs w:val="28"/>
          <w:lang w:val="zh-CN"/>
        </w:rPr>
        <w:t>.</w:t>
      </w:r>
      <w:r>
        <w:rPr>
          <w:rFonts w:hint="eastAsia" w:eastAsia="仿宋_GB2312"/>
          <w:b/>
          <w:sz w:val="28"/>
          <w:szCs w:val="28"/>
          <w:lang w:val="zh-CN"/>
        </w:rPr>
        <w:t>毕业论文</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毕业论文报名时间和方式与自考实践课报名相同。学生报名后，由浙江工商大学继续教育学院安排老师到各学生所在院校进行论文集中指导。学生根据浙江工商大学继续教育学院网站公布的《自考本科毕业论文的通知》，上网查询公布的指导教师，学生自行和指导教师联系，完成并提交论文。提交毕业论文后，学生要根据浙江工商大学继续教育学院的安排在规定时间内到浙江工商大学继续教育学院参加论文答辩。论文采用百分制，60分为合格。</w:t>
      </w:r>
    </w:p>
    <w:p>
      <w:pPr>
        <w:spacing w:beforeLines="50" w:line="460" w:lineRule="exact"/>
        <w:jc w:val="left"/>
        <w:rPr>
          <w:rFonts w:eastAsia="仿宋_GB2312"/>
          <w:b/>
          <w:sz w:val="28"/>
          <w:szCs w:val="28"/>
          <w:lang w:val="zh-CN"/>
        </w:rPr>
      </w:pPr>
      <w:r>
        <w:rPr>
          <w:rFonts w:hint="eastAsia" w:eastAsia="仿宋_GB2312"/>
          <w:b/>
          <w:sz w:val="28"/>
          <w:szCs w:val="28"/>
          <w:lang w:val="zh-CN"/>
        </w:rPr>
        <w:t>4.毕业</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符合下面三个条件的学生可以申请毕业：①已取得国民教育系列专科毕业证书；②交清专本衔接所有费用；③学完自考专升本教学计划规定的全部课程并成绩合格。凭自考所有课程的单科合格证于每年的5月、11月向当地考试院申请毕业，浙江工商大学继续教育学院负责对毕业生的毕业资格审核，并在毕业证书上副署盖章，每年1月、7月发放毕业证书。</w:t>
      </w:r>
      <w:bookmarkStart w:id="5" w:name="_Toc322436256"/>
      <w:bookmarkStart w:id="6" w:name="_Toc322436561"/>
    </w:p>
    <w:p>
      <w:pPr>
        <w:tabs>
          <w:tab w:val="left" w:pos="1410"/>
        </w:tabs>
        <w:spacing w:beforeLines="50" w:line="460" w:lineRule="exact"/>
        <w:jc w:val="left"/>
        <w:rPr>
          <w:rFonts w:eastAsia="仿宋_GB2312"/>
          <w:b/>
          <w:sz w:val="28"/>
          <w:szCs w:val="28"/>
          <w:lang w:val="zh-CN"/>
        </w:rPr>
      </w:pPr>
      <w:r>
        <w:rPr>
          <w:rFonts w:hint="eastAsia" w:eastAsia="仿宋_GB2312"/>
          <w:b/>
          <w:sz w:val="28"/>
          <w:szCs w:val="28"/>
          <w:lang w:val="zh-CN"/>
        </w:rPr>
        <w:t>5.学位</w:t>
      </w:r>
      <w:r>
        <w:rPr>
          <w:rFonts w:eastAsia="仿宋_GB2312"/>
          <w:b/>
          <w:sz w:val="28"/>
          <w:szCs w:val="28"/>
          <w:lang w:val="zh-CN"/>
        </w:rPr>
        <w:tab/>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同时符合以下二个条件的自考本科毕业生可以申请学位：①参加浙江教育考试机构组织的全国公共英语等级考试（PETS</w:t>
      </w:r>
      <w:r>
        <w:rPr>
          <w:rFonts w:eastAsia="仿宋_GB2312"/>
          <w:sz w:val="28"/>
          <w:szCs w:val="28"/>
          <w:lang w:val="zh-CN"/>
        </w:rPr>
        <w:t>）</w:t>
      </w:r>
      <w:r>
        <w:rPr>
          <w:rFonts w:hint="eastAsia" w:eastAsia="仿宋_GB2312"/>
          <w:sz w:val="28"/>
          <w:szCs w:val="28"/>
          <w:lang w:val="zh-CN"/>
        </w:rPr>
        <w:t>三级或以上笔试并取得合格成绩；②论文成绩为本次同专业自考本科毕业生论文的平均成绩以上。</w:t>
      </w:r>
    </w:p>
    <w:p>
      <w:pPr>
        <w:spacing w:beforeLines="50" w:line="460" w:lineRule="exact"/>
        <w:jc w:val="left"/>
        <w:rPr>
          <w:rFonts w:eastAsia="仿宋_GB2312"/>
          <w:b/>
          <w:sz w:val="28"/>
          <w:szCs w:val="28"/>
          <w:lang w:val="zh-CN"/>
        </w:rPr>
      </w:pPr>
      <w:r>
        <w:rPr>
          <w:rFonts w:hint="eastAsia" w:eastAsia="仿宋_GB2312"/>
          <w:b/>
          <w:sz w:val="28"/>
          <w:szCs w:val="28"/>
          <w:lang w:val="zh-CN"/>
        </w:rPr>
        <w:t>6.退学</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学生退学应当提交《退学申请表》（见附件四），交家长签名，经学生所在院校班主任签字同意，由学生所在院校该项目负责人签字核准后，交浙江工商大学继续教育学院办理相关手续。</w:t>
      </w:r>
      <w:bookmarkEnd w:id="5"/>
      <w:bookmarkEnd w:id="6"/>
    </w:p>
    <w:p>
      <w:pPr>
        <w:pStyle w:val="11"/>
        <w:spacing w:before="120" w:line="460" w:lineRule="exact"/>
        <w:jc w:val="left"/>
        <w:rPr>
          <w:rFonts w:hAnsi="黑体" w:eastAsia="黑体" w:asciiTheme="minorHAnsi" w:cstheme="minorBidi"/>
          <w:b w:val="0"/>
          <w:lang w:val="zh-CN"/>
        </w:rPr>
      </w:pPr>
      <w:bookmarkStart w:id="7" w:name="_Toc493751896"/>
      <w:r>
        <w:rPr>
          <w:rFonts w:hint="eastAsia" w:hAnsi="黑体" w:eastAsia="黑体" w:asciiTheme="minorHAnsi" w:cstheme="minorBidi"/>
          <w:b w:val="0"/>
          <w:lang w:val="zh-CN"/>
        </w:rPr>
        <w:t>六、缴费与退费</w:t>
      </w:r>
      <w:bookmarkEnd w:id="7"/>
    </w:p>
    <w:p>
      <w:pPr>
        <w:spacing w:line="460" w:lineRule="exact"/>
        <w:jc w:val="left"/>
        <w:rPr>
          <w:rFonts w:eastAsia="仿宋_GB2312"/>
          <w:b/>
          <w:sz w:val="28"/>
          <w:szCs w:val="28"/>
          <w:lang w:val="zh-CN"/>
        </w:rPr>
      </w:pPr>
      <w:r>
        <w:rPr>
          <w:rFonts w:hint="eastAsia" w:eastAsia="仿宋_GB2312"/>
          <w:b/>
          <w:sz w:val="28"/>
          <w:szCs w:val="28"/>
          <w:lang w:val="zh-CN"/>
        </w:rPr>
        <w:t>1.缴费</w:t>
      </w:r>
    </w:p>
    <w:p>
      <w:pPr>
        <w:spacing w:line="460" w:lineRule="exact"/>
        <w:ind w:firstLine="560" w:firstLineChars="200"/>
        <w:rPr>
          <w:rFonts w:eastAsia="仿宋_GB2312"/>
          <w:sz w:val="28"/>
          <w:szCs w:val="28"/>
          <w:lang w:val="zh-CN"/>
        </w:rPr>
      </w:pPr>
      <w:r>
        <w:rPr>
          <w:rFonts w:hint="eastAsia" w:eastAsia="仿宋_GB2312"/>
          <w:sz w:val="28"/>
          <w:szCs w:val="28"/>
          <w:lang w:val="zh-CN"/>
        </w:rPr>
        <w:t>学费：整个学习过程共分三期交纳学费，每学年开学一个月内将所有学生的本期学费汇到浙江工商大学继续教育学院指定账号，由浙江工商大学出具发票。浙江工商大学继续教育学院再按合作办学协议的规定比例分配给各合作方，其他费用的缴纳按有关协议执行。</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考试费及其他费用:则按相关规定要求将费用汇入指定账号。</w:t>
      </w:r>
    </w:p>
    <w:p>
      <w:pPr>
        <w:spacing w:beforeLines="50" w:line="460" w:lineRule="exact"/>
        <w:jc w:val="left"/>
        <w:rPr>
          <w:rFonts w:eastAsia="仿宋_GB2312"/>
          <w:b/>
          <w:sz w:val="28"/>
          <w:szCs w:val="28"/>
          <w:lang w:val="zh-CN"/>
        </w:rPr>
      </w:pPr>
      <w:r>
        <w:rPr>
          <w:rFonts w:hint="eastAsia" w:eastAsia="仿宋_GB2312"/>
          <w:b/>
          <w:sz w:val="28"/>
          <w:szCs w:val="28"/>
          <w:lang w:val="zh-CN"/>
        </w:rPr>
        <w:t>2.退费</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原则上不退学费，如确特殊，参照浙教办考[2008]171号《浙江省教育厅办公室关于印发进一步加强高等教育自学考试全日制助学管理若干规定的通知》（见附件五）执行。</w:t>
      </w:r>
    </w:p>
    <w:p>
      <w:pPr>
        <w:pStyle w:val="11"/>
        <w:spacing w:before="120" w:line="460" w:lineRule="exact"/>
        <w:jc w:val="left"/>
        <w:rPr>
          <w:rFonts w:hAnsi="黑体" w:eastAsia="黑体" w:asciiTheme="minorHAnsi" w:cstheme="minorBidi"/>
          <w:b w:val="0"/>
          <w:lang w:val="zh-CN"/>
        </w:rPr>
      </w:pPr>
      <w:bookmarkStart w:id="8" w:name="_Toc493751897"/>
      <w:r>
        <w:rPr>
          <w:rFonts w:hint="eastAsia" w:hAnsi="黑体" w:eastAsia="黑体" w:asciiTheme="minorHAnsi" w:cstheme="minorBidi"/>
          <w:b w:val="0"/>
          <w:lang w:val="zh-CN"/>
        </w:rPr>
        <w:t>七、其他事项</w:t>
      </w:r>
      <w:bookmarkEnd w:id="8"/>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1.浙江工商大学继续教育学院网站（http://jxjy.zjsu.edu.cn）为自考专本衔接信息发布平台，自考专本衔接QQ群（260618055）为专本衔接信息交流平台。</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2.为保证专本衔接各项工作顺利、有序开展，合作班成立后，高职院校需提供该项目负责人及其他联系人的联系方式（QQ、联系电话等），用于日常工作联系。</w:t>
      </w:r>
    </w:p>
    <w:p>
      <w:pPr>
        <w:spacing w:line="460" w:lineRule="exact"/>
        <w:ind w:firstLine="560" w:firstLineChars="200"/>
        <w:jc w:val="left"/>
        <w:rPr>
          <w:rFonts w:eastAsia="仿宋_GB2312"/>
          <w:sz w:val="28"/>
          <w:szCs w:val="28"/>
          <w:lang w:val="zh-CN"/>
        </w:rPr>
      </w:pPr>
      <w:r>
        <w:rPr>
          <w:rFonts w:hint="eastAsia" w:eastAsia="仿宋_GB2312"/>
          <w:sz w:val="28"/>
          <w:szCs w:val="28"/>
          <w:lang w:val="zh-CN"/>
        </w:rPr>
        <w:t>3.本工作管理手册适用2017级学生，最终解释权归浙江工商大学继续教育学院所有。</w:t>
      </w:r>
    </w:p>
    <w:p>
      <w:pPr>
        <w:spacing w:line="360" w:lineRule="auto"/>
        <w:jc w:val="left"/>
        <w:rPr>
          <w:szCs w:val="21"/>
        </w:rPr>
        <w:sectPr>
          <w:headerReference r:id="rId8" w:type="first"/>
          <w:footerReference r:id="rId9" w:type="first"/>
          <w:pgSz w:w="11906" w:h="16838"/>
          <w:pgMar w:top="1247" w:right="1531" w:bottom="1247" w:left="1531" w:header="851" w:footer="992" w:gutter="0"/>
          <w:pgNumType w:start="1"/>
          <w:cols w:space="425" w:num="1"/>
          <w:titlePg/>
          <w:docGrid w:type="lines" w:linePitch="312" w:charSpace="0"/>
        </w:sectPr>
      </w:pPr>
    </w:p>
    <w:p>
      <w:pPr>
        <w:spacing w:afterLines="100" w:line="360" w:lineRule="auto"/>
        <w:jc w:val="left"/>
        <w:rPr>
          <w:sz w:val="28"/>
          <w:szCs w:val="28"/>
        </w:rPr>
      </w:pPr>
      <w:r>
        <w:rPr>
          <w:rFonts w:hint="eastAsia"/>
          <w:sz w:val="28"/>
          <w:szCs w:val="28"/>
        </w:rPr>
        <w:t>附件一  教学计划</w:t>
      </w:r>
    </w:p>
    <w:tbl>
      <w:tblPr>
        <w:tblStyle w:val="14"/>
        <w:tblW w:w="8921" w:type="dxa"/>
        <w:tblInd w:w="118" w:type="dxa"/>
        <w:tblLayout w:type="fixed"/>
        <w:tblCellMar>
          <w:top w:w="0" w:type="dxa"/>
          <w:left w:w="108" w:type="dxa"/>
          <w:bottom w:w="0" w:type="dxa"/>
          <w:right w:w="108" w:type="dxa"/>
        </w:tblCellMar>
      </w:tblPr>
      <w:tblGrid>
        <w:gridCol w:w="1266"/>
        <w:gridCol w:w="567"/>
        <w:gridCol w:w="947"/>
        <w:gridCol w:w="3447"/>
        <w:gridCol w:w="1276"/>
        <w:gridCol w:w="1418"/>
      </w:tblGrid>
      <w:tr>
        <w:tblPrEx>
          <w:tblLayout w:type="fixed"/>
          <w:tblCellMar>
            <w:top w:w="0" w:type="dxa"/>
            <w:left w:w="108" w:type="dxa"/>
            <w:bottom w:w="0" w:type="dxa"/>
            <w:right w:w="108" w:type="dxa"/>
          </w:tblCellMar>
        </w:tblPrEx>
        <w:trPr>
          <w:trHeight w:val="300" w:hRule="atLeast"/>
        </w:trPr>
        <w:tc>
          <w:tcPr>
            <w:tcW w:w="8921" w:type="dxa"/>
            <w:gridSpan w:val="6"/>
            <w:tcBorders>
              <w:top w:val="single" w:color="auto" w:sz="8" w:space="0"/>
              <w:left w:val="single" w:color="auto" w:sz="8" w:space="0"/>
              <w:bottom w:val="nil"/>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工商企业管理（本科）专业教学计划</w:t>
            </w:r>
          </w:p>
        </w:tc>
      </w:tr>
      <w:tr>
        <w:tblPrEx>
          <w:tblLayout w:type="fixed"/>
          <w:tblCellMar>
            <w:top w:w="0" w:type="dxa"/>
            <w:left w:w="108" w:type="dxa"/>
            <w:bottom w:w="0" w:type="dxa"/>
            <w:right w:w="108" w:type="dxa"/>
          </w:tblCellMar>
        </w:tblPrEx>
        <w:trPr>
          <w:trHeight w:val="315" w:hRule="atLeast"/>
        </w:trPr>
        <w:tc>
          <w:tcPr>
            <w:tcW w:w="8921"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 xml:space="preserve">主考院校：浙江工商大学      专业代码：1020202   </w:t>
            </w:r>
          </w:p>
        </w:tc>
      </w:tr>
      <w:tr>
        <w:tblPrEx>
          <w:tblLayout w:type="fixed"/>
          <w:tblCellMar>
            <w:top w:w="0" w:type="dxa"/>
            <w:left w:w="108" w:type="dxa"/>
            <w:bottom w:w="0" w:type="dxa"/>
            <w:right w:w="108" w:type="dxa"/>
          </w:tblCellMar>
        </w:tblPrEx>
        <w:trPr>
          <w:trHeight w:val="468" w:hRule="atLeast"/>
        </w:trPr>
        <w:tc>
          <w:tcPr>
            <w:tcW w:w="126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课程类型</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94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课程代码</w:t>
            </w:r>
          </w:p>
        </w:tc>
        <w:tc>
          <w:tcPr>
            <w:tcW w:w="344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课程名称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学分</w:t>
            </w:r>
          </w:p>
        </w:tc>
        <w:tc>
          <w:tcPr>
            <w:tcW w:w="14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考试形式</w:t>
            </w:r>
          </w:p>
        </w:tc>
      </w:tr>
      <w:tr>
        <w:tblPrEx>
          <w:tblLayout w:type="fixed"/>
          <w:tblCellMar>
            <w:top w:w="0" w:type="dxa"/>
            <w:left w:w="108" w:type="dxa"/>
            <w:bottom w:w="0" w:type="dxa"/>
            <w:right w:w="108" w:type="dxa"/>
          </w:tblCellMar>
        </w:tblPrEx>
        <w:trPr>
          <w:trHeight w:val="468"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94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344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418" w:type="dxa"/>
            <w:vMerge w:val="continue"/>
            <w:tcBorders>
              <w:top w:val="nil"/>
              <w:left w:val="single" w:color="auto" w:sz="4" w:space="0"/>
              <w:bottom w:val="single" w:color="000000" w:sz="4" w:space="0"/>
              <w:right w:val="single" w:color="auto" w:sz="8" w:space="0"/>
            </w:tcBorders>
            <w:vAlign w:val="center"/>
          </w:tcPr>
          <w:p>
            <w:pPr>
              <w:widowControl/>
              <w:jc w:val="left"/>
              <w:rPr>
                <w:rFonts w:ascii="仿宋" w:hAnsi="仿宋" w:eastAsia="仿宋" w:cs="宋体"/>
                <w:b/>
                <w:bCs/>
                <w:kern w:val="0"/>
                <w:sz w:val="24"/>
                <w:szCs w:val="24"/>
              </w:rPr>
            </w:pPr>
          </w:p>
        </w:tc>
      </w:tr>
      <w:tr>
        <w:tblPrEx>
          <w:tblLayout w:type="fixed"/>
          <w:tblCellMar>
            <w:top w:w="0" w:type="dxa"/>
            <w:left w:w="108" w:type="dxa"/>
            <w:bottom w:w="0" w:type="dxa"/>
            <w:right w:w="108" w:type="dxa"/>
          </w:tblCellMar>
        </w:tblPrEx>
        <w:trPr>
          <w:trHeight w:val="345" w:hRule="atLeast"/>
        </w:trPr>
        <w:tc>
          <w:tcPr>
            <w:tcW w:w="126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基础课程</w:t>
            </w: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03708</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免考课程</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03709</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vMerge w:val="continue"/>
            <w:tcBorders>
              <w:top w:val="nil"/>
              <w:left w:val="single" w:color="auto" w:sz="4" w:space="0"/>
              <w:bottom w:val="single" w:color="000000" w:sz="4" w:space="0"/>
              <w:right w:val="single" w:color="auto" w:sz="8" w:space="0"/>
            </w:tcBorders>
            <w:vAlign w:val="center"/>
          </w:tcPr>
          <w:p>
            <w:pPr>
              <w:widowControl/>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00015</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英语（二）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418" w:type="dxa"/>
            <w:vMerge w:val="continue"/>
            <w:tcBorders>
              <w:top w:val="nil"/>
              <w:left w:val="single" w:color="auto" w:sz="4" w:space="0"/>
              <w:bottom w:val="single" w:color="000000" w:sz="4" w:space="0"/>
              <w:right w:val="single" w:color="auto" w:sz="8" w:space="0"/>
            </w:tcBorders>
            <w:vAlign w:val="center"/>
          </w:tcPr>
          <w:p>
            <w:pPr>
              <w:widowControl/>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6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核心课程</w:t>
            </w: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00152</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组织行为学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00054</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管理学原理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00149</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国际贸易理论与实务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00067</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财务管理学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00151</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企业经营战略（实）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6（实）</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00154</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企业管理咨询（实）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4（实）</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94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21046</w:t>
            </w:r>
          </w:p>
        </w:tc>
        <w:tc>
          <w:tcPr>
            <w:tcW w:w="344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毕业论文</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不计学分</w:t>
            </w:r>
          </w:p>
        </w:tc>
        <w:tc>
          <w:tcPr>
            <w:tcW w:w="1418"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345" w:hRule="atLeast"/>
        </w:trPr>
        <w:tc>
          <w:tcPr>
            <w:tcW w:w="1266" w:type="dxa"/>
            <w:vMerge w:val="restart"/>
            <w:tcBorders>
              <w:top w:val="nil"/>
              <w:left w:val="single" w:color="auto" w:sz="8" w:space="0"/>
              <w:bottom w:val="nil"/>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选修课程</w:t>
            </w:r>
          </w:p>
        </w:tc>
        <w:tc>
          <w:tcPr>
            <w:tcW w:w="56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94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00179</w:t>
            </w:r>
          </w:p>
        </w:tc>
        <w:tc>
          <w:tcPr>
            <w:tcW w:w="344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谈判与推销技巧</w:t>
            </w:r>
          </w:p>
        </w:tc>
        <w:tc>
          <w:tcPr>
            <w:tcW w:w="1276" w:type="dxa"/>
            <w:tcBorders>
              <w:top w:val="nil"/>
              <w:left w:val="nil"/>
              <w:bottom w:val="single" w:color="auto" w:sz="4" w:space="0"/>
              <w:right w:val="single" w:color="auto" w:sz="4"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94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00315</w:t>
            </w:r>
          </w:p>
        </w:tc>
        <w:tc>
          <w:tcPr>
            <w:tcW w:w="344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当代中国政治制度</w:t>
            </w:r>
          </w:p>
        </w:tc>
        <w:tc>
          <w:tcPr>
            <w:tcW w:w="1276" w:type="dxa"/>
            <w:tcBorders>
              <w:top w:val="nil"/>
              <w:left w:val="nil"/>
              <w:bottom w:val="single" w:color="auto" w:sz="4" w:space="0"/>
              <w:right w:val="single" w:color="auto" w:sz="4"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94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06088</w:t>
            </w:r>
          </w:p>
        </w:tc>
        <w:tc>
          <w:tcPr>
            <w:tcW w:w="344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管理思想史</w:t>
            </w:r>
          </w:p>
        </w:tc>
        <w:tc>
          <w:tcPr>
            <w:tcW w:w="1276" w:type="dxa"/>
            <w:tcBorders>
              <w:top w:val="nil"/>
              <w:left w:val="nil"/>
              <w:bottom w:val="single" w:color="auto" w:sz="4" w:space="0"/>
              <w:right w:val="single" w:color="auto" w:sz="4"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8" w:type="dxa"/>
            <w:tcBorders>
              <w:top w:val="nil"/>
              <w:left w:val="nil"/>
              <w:bottom w:val="single" w:color="auto" w:sz="4" w:space="0"/>
              <w:right w:val="single" w:color="auto" w:sz="8"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94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00034</w:t>
            </w:r>
          </w:p>
        </w:tc>
        <w:tc>
          <w:tcPr>
            <w:tcW w:w="344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社会学概论</w:t>
            </w:r>
          </w:p>
        </w:tc>
        <w:tc>
          <w:tcPr>
            <w:tcW w:w="1276" w:type="dxa"/>
            <w:tcBorders>
              <w:top w:val="nil"/>
              <w:left w:val="nil"/>
              <w:bottom w:val="single" w:color="auto" w:sz="4" w:space="0"/>
              <w:right w:val="single" w:color="auto" w:sz="4"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66"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56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947"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00197</w:t>
            </w:r>
          </w:p>
        </w:tc>
        <w:tc>
          <w:tcPr>
            <w:tcW w:w="344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旅游资源规划与开发（实）</w:t>
            </w:r>
          </w:p>
        </w:tc>
        <w:tc>
          <w:tcPr>
            <w:tcW w:w="1276" w:type="dxa"/>
            <w:tcBorders>
              <w:top w:val="nil"/>
              <w:left w:val="nil"/>
              <w:bottom w:val="single" w:color="auto" w:sz="4" w:space="0"/>
              <w:right w:val="single" w:color="auto" w:sz="4"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8" w:space="0"/>
            </w:tcBorders>
            <w:shd w:val="clear" w:color="000000" w:fill="CCFFCC"/>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6227"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总计学分</w:t>
            </w:r>
          </w:p>
        </w:tc>
        <w:tc>
          <w:tcPr>
            <w:tcW w:w="1276" w:type="dxa"/>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75</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r>
      <w:tr>
        <w:tblPrEx>
          <w:tblLayout w:type="fixed"/>
          <w:tblCellMar>
            <w:top w:w="0" w:type="dxa"/>
            <w:left w:w="108" w:type="dxa"/>
            <w:bottom w:w="0" w:type="dxa"/>
            <w:right w:w="108" w:type="dxa"/>
          </w:tblCellMar>
        </w:tblPrEx>
        <w:trPr>
          <w:trHeight w:val="240" w:hRule="atLeast"/>
        </w:trPr>
        <w:tc>
          <w:tcPr>
            <w:tcW w:w="1266" w:type="dxa"/>
            <w:tcBorders>
              <w:top w:val="nil"/>
              <w:left w:val="nil"/>
              <w:bottom w:val="nil"/>
              <w:right w:val="nil"/>
            </w:tcBorders>
            <w:shd w:val="clear" w:color="auto" w:fill="auto"/>
            <w:vAlign w:val="center"/>
          </w:tcPr>
          <w:p>
            <w:pPr>
              <w:widowControl/>
              <w:rPr>
                <w:rFonts w:ascii="仿宋" w:hAnsi="仿宋" w:eastAsia="仿宋" w:cs="宋体"/>
                <w:b/>
                <w:bCs/>
                <w:kern w:val="0"/>
                <w:sz w:val="24"/>
                <w:szCs w:val="24"/>
              </w:rPr>
            </w:pPr>
          </w:p>
        </w:tc>
        <w:tc>
          <w:tcPr>
            <w:tcW w:w="567"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947" w:type="dxa"/>
            <w:tcBorders>
              <w:top w:val="nil"/>
              <w:left w:val="nil"/>
              <w:bottom w:val="nil"/>
              <w:right w:val="nil"/>
            </w:tcBorders>
            <w:shd w:val="clear" w:color="auto" w:fill="auto"/>
            <w:vAlign w:val="center"/>
          </w:tcPr>
          <w:p>
            <w:pPr>
              <w:widowControl/>
              <w:jc w:val="center"/>
              <w:rPr>
                <w:rFonts w:ascii="仿宋" w:hAnsi="仿宋" w:eastAsia="仿宋" w:cs="Times New Roman"/>
                <w:kern w:val="0"/>
                <w:sz w:val="20"/>
                <w:szCs w:val="20"/>
              </w:rPr>
            </w:pPr>
          </w:p>
        </w:tc>
        <w:tc>
          <w:tcPr>
            <w:tcW w:w="3447"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276"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418"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r>
      <w:tr>
        <w:tblPrEx>
          <w:tblLayout w:type="fixed"/>
          <w:tblCellMar>
            <w:top w:w="0" w:type="dxa"/>
            <w:left w:w="108" w:type="dxa"/>
            <w:bottom w:w="0" w:type="dxa"/>
            <w:right w:w="108" w:type="dxa"/>
          </w:tblCellMar>
        </w:tblPrEx>
        <w:trPr>
          <w:trHeight w:val="330" w:hRule="atLeast"/>
        </w:trPr>
        <w:tc>
          <w:tcPr>
            <w:tcW w:w="8921" w:type="dxa"/>
            <w:gridSpan w:val="6"/>
            <w:tcBorders>
              <w:top w:val="nil"/>
              <w:left w:val="nil"/>
              <w:bottom w:val="nil"/>
              <w:right w:val="nil"/>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注：该专业</w:t>
            </w:r>
            <w:r>
              <w:rPr>
                <w:rFonts w:hint="eastAsia" w:ascii="仿宋" w:hAnsi="仿宋" w:eastAsia="仿宋" w:cs="宋体"/>
                <w:bCs/>
                <w:kern w:val="0"/>
                <w:sz w:val="24"/>
                <w:szCs w:val="24"/>
              </w:rPr>
              <w:t>教学计划</w:t>
            </w:r>
            <w:r>
              <w:rPr>
                <w:rFonts w:hint="eastAsia" w:ascii="仿宋" w:hAnsi="仿宋" w:eastAsia="仿宋" w:cs="宋体"/>
                <w:kern w:val="0"/>
                <w:sz w:val="24"/>
                <w:szCs w:val="24"/>
              </w:rPr>
              <w:t>根据省考试院最终定稿确定</w:t>
            </w:r>
          </w:p>
        </w:tc>
      </w:tr>
    </w:tbl>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tbl>
      <w:tblPr>
        <w:tblStyle w:val="14"/>
        <w:tblW w:w="8921" w:type="dxa"/>
        <w:tblInd w:w="118" w:type="dxa"/>
        <w:tblLayout w:type="fixed"/>
        <w:tblCellMar>
          <w:top w:w="0" w:type="dxa"/>
          <w:left w:w="108" w:type="dxa"/>
          <w:bottom w:w="0" w:type="dxa"/>
          <w:right w:w="108" w:type="dxa"/>
        </w:tblCellMar>
      </w:tblPr>
      <w:tblGrid>
        <w:gridCol w:w="1240"/>
        <w:gridCol w:w="720"/>
        <w:gridCol w:w="980"/>
        <w:gridCol w:w="3287"/>
        <w:gridCol w:w="1276"/>
        <w:gridCol w:w="1418"/>
      </w:tblGrid>
      <w:tr>
        <w:tblPrEx>
          <w:tblLayout w:type="fixed"/>
          <w:tblCellMar>
            <w:top w:w="0" w:type="dxa"/>
            <w:left w:w="108" w:type="dxa"/>
            <w:bottom w:w="0" w:type="dxa"/>
            <w:right w:w="108" w:type="dxa"/>
          </w:tblCellMar>
        </w:tblPrEx>
        <w:trPr>
          <w:trHeight w:val="360" w:hRule="atLeast"/>
        </w:trPr>
        <w:tc>
          <w:tcPr>
            <w:tcW w:w="8921" w:type="dxa"/>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企业财务管理（本科）专业教学计划</w:t>
            </w:r>
          </w:p>
        </w:tc>
      </w:tr>
      <w:tr>
        <w:tblPrEx>
          <w:tblLayout w:type="fixed"/>
          <w:tblCellMar>
            <w:top w:w="0" w:type="dxa"/>
            <w:left w:w="108" w:type="dxa"/>
            <w:bottom w:w="0" w:type="dxa"/>
            <w:right w:w="108" w:type="dxa"/>
          </w:tblCellMar>
        </w:tblPrEx>
        <w:trPr>
          <w:trHeight w:val="345" w:hRule="atLeast"/>
        </w:trPr>
        <w:tc>
          <w:tcPr>
            <w:tcW w:w="8921"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 xml:space="preserve">主考院校：浙江工商大学      专业代码：1020213   </w:t>
            </w:r>
          </w:p>
        </w:tc>
      </w:tr>
      <w:tr>
        <w:tblPrEx>
          <w:tblLayout w:type="fixed"/>
          <w:tblCellMar>
            <w:top w:w="0" w:type="dxa"/>
            <w:left w:w="108" w:type="dxa"/>
            <w:bottom w:w="0" w:type="dxa"/>
            <w:right w:w="108" w:type="dxa"/>
          </w:tblCellMar>
        </w:tblPrEx>
        <w:trPr>
          <w:trHeight w:val="468"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课程类型</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课程代码</w:t>
            </w:r>
          </w:p>
        </w:tc>
        <w:tc>
          <w:tcPr>
            <w:tcW w:w="32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课程名称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学分</w:t>
            </w:r>
          </w:p>
        </w:tc>
        <w:tc>
          <w:tcPr>
            <w:tcW w:w="1418" w:type="dxa"/>
            <w:vMerge w:val="restart"/>
            <w:tcBorders>
              <w:top w:val="nil"/>
              <w:left w:val="single" w:color="auto" w:sz="4" w:space="0"/>
              <w:bottom w:val="single" w:color="000000" w:sz="4" w:space="0"/>
              <w:right w:val="single" w:color="auto"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考试形式</w:t>
            </w:r>
          </w:p>
        </w:tc>
      </w:tr>
      <w:tr>
        <w:tblPrEx>
          <w:tblLayout w:type="fixed"/>
          <w:tblCellMar>
            <w:top w:w="0" w:type="dxa"/>
            <w:left w:w="108" w:type="dxa"/>
            <w:bottom w:w="0" w:type="dxa"/>
            <w:right w:w="108" w:type="dxa"/>
          </w:tblCellMar>
        </w:tblPrEx>
        <w:trPr>
          <w:trHeight w:val="468"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328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418" w:type="dxa"/>
            <w:vMerge w:val="continue"/>
            <w:tcBorders>
              <w:top w:val="nil"/>
              <w:left w:val="single" w:color="auto" w:sz="4" w:space="0"/>
              <w:bottom w:val="single" w:color="000000" w:sz="4" w:space="0"/>
              <w:right w:val="single" w:color="auto" w:sz="8" w:space="0"/>
            </w:tcBorders>
            <w:vAlign w:val="center"/>
          </w:tcPr>
          <w:p>
            <w:pPr>
              <w:widowControl/>
              <w:spacing w:line="360" w:lineRule="auto"/>
              <w:jc w:val="left"/>
              <w:rPr>
                <w:rFonts w:ascii="仿宋" w:hAnsi="仿宋" w:eastAsia="仿宋" w:cs="宋体"/>
                <w:b/>
                <w:bCs/>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基础课程</w:t>
            </w: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03708</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8" w:type="dxa"/>
            <w:vMerge w:val="restart"/>
            <w:tcBorders>
              <w:top w:val="nil"/>
              <w:left w:val="single" w:color="auto" w:sz="4" w:space="0"/>
              <w:bottom w:val="single" w:color="000000"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免考课程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03709</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vMerge w:val="continue"/>
            <w:tcBorders>
              <w:top w:val="nil"/>
              <w:left w:val="single" w:color="auto" w:sz="4" w:space="0"/>
              <w:bottom w:val="single" w:color="000000"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00015</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英语（二）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418" w:type="dxa"/>
            <w:vMerge w:val="continue"/>
            <w:tcBorders>
              <w:top w:val="nil"/>
              <w:left w:val="single" w:color="auto" w:sz="4" w:space="0"/>
              <w:bottom w:val="single" w:color="000000"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核心课程</w:t>
            </w: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18003</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税收策划（实）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4（实）</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00160</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审计学</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00157</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管理会计（一）</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00207</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高级财务管理（实）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6（实）</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00208</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国际财务管理（实）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5（实）</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00158</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资产评估</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98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21087</w:t>
            </w:r>
          </w:p>
        </w:tc>
        <w:tc>
          <w:tcPr>
            <w:tcW w:w="328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毕业论文</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不计学分</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nil"/>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选修课程</w:t>
            </w:r>
          </w:p>
        </w:tc>
        <w:tc>
          <w:tcPr>
            <w:tcW w:w="72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98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00179</w:t>
            </w:r>
          </w:p>
        </w:tc>
        <w:tc>
          <w:tcPr>
            <w:tcW w:w="328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谈判与推销技巧</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98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00054</w:t>
            </w:r>
          </w:p>
        </w:tc>
        <w:tc>
          <w:tcPr>
            <w:tcW w:w="328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管理学原理</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98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06088</w:t>
            </w:r>
          </w:p>
        </w:tc>
        <w:tc>
          <w:tcPr>
            <w:tcW w:w="328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管理思想史</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98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00034</w:t>
            </w:r>
          </w:p>
        </w:tc>
        <w:tc>
          <w:tcPr>
            <w:tcW w:w="328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社会学概论</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nil"/>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2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98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00197</w:t>
            </w:r>
          </w:p>
        </w:tc>
        <w:tc>
          <w:tcPr>
            <w:tcW w:w="328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旅游资源规划与开发（实）</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6227" w:type="dxa"/>
            <w:gridSpan w:val="4"/>
            <w:tcBorders>
              <w:top w:val="single" w:color="auto" w:sz="4" w:space="0"/>
              <w:left w:val="single" w:color="auto" w:sz="8" w:space="0"/>
              <w:bottom w:val="single" w:color="auto" w:sz="8" w:space="0"/>
              <w:right w:val="single" w:color="000000"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总计学分</w:t>
            </w:r>
          </w:p>
        </w:tc>
        <w:tc>
          <w:tcPr>
            <w:tcW w:w="1276" w:type="dxa"/>
            <w:tcBorders>
              <w:top w:val="nil"/>
              <w:left w:val="nil"/>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73</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r>
      <w:tr>
        <w:tblPrEx>
          <w:tblLayout w:type="fixed"/>
          <w:tblCellMar>
            <w:top w:w="0" w:type="dxa"/>
            <w:left w:w="108" w:type="dxa"/>
            <w:bottom w:w="0" w:type="dxa"/>
            <w:right w:w="108" w:type="dxa"/>
          </w:tblCellMar>
        </w:tblPrEx>
        <w:trPr>
          <w:trHeight w:val="285" w:hRule="atLeast"/>
        </w:trPr>
        <w:tc>
          <w:tcPr>
            <w:tcW w:w="1240" w:type="dxa"/>
            <w:tcBorders>
              <w:top w:val="nil"/>
              <w:left w:val="nil"/>
              <w:bottom w:val="nil"/>
              <w:right w:val="nil"/>
            </w:tcBorders>
            <w:shd w:val="clear" w:color="auto" w:fill="auto"/>
            <w:vAlign w:val="center"/>
          </w:tcPr>
          <w:p>
            <w:pPr>
              <w:widowControl/>
              <w:jc w:val="center"/>
              <w:rPr>
                <w:rFonts w:ascii="仿宋" w:hAnsi="仿宋" w:eastAsia="仿宋" w:cs="宋体"/>
                <w:b/>
                <w:bCs/>
                <w:kern w:val="0"/>
                <w:sz w:val="24"/>
                <w:szCs w:val="24"/>
              </w:rPr>
            </w:pPr>
          </w:p>
        </w:tc>
        <w:tc>
          <w:tcPr>
            <w:tcW w:w="720"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980" w:type="dxa"/>
            <w:tcBorders>
              <w:top w:val="nil"/>
              <w:left w:val="nil"/>
              <w:bottom w:val="nil"/>
              <w:right w:val="nil"/>
            </w:tcBorders>
            <w:shd w:val="clear" w:color="auto" w:fill="auto"/>
            <w:vAlign w:val="center"/>
          </w:tcPr>
          <w:p>
            <w:pPr>
              <w:widowControl/>
              <w:jc w:val="center"/>
              <w:rPr>
                <w:rFonts w:ascii="仿宋" w:hAnsi="仿宋" w:eastAsia="仿宋" w:cs="Times New Roman"/>
                <w:kern w:val="0"/>
                <w:sz w:val="20"/>
                <w:szCs w:val="20"/>
              </w:rPr>
            </w:pPr>
          </w:p>
        </w:tc>
        <w:tc>
          <w:tcPr>
            <w:tcW w:w="3287"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276"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418"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r>
      <w:tr>
        <w:tblPrEx>
          <w:tblLayout w:type="fixed"/>
          <w:tblCellMar>
            <w:top w:w="0" w:type="dxa"/>
            <w:left w:w="108" w:type="dxa"/>
            <w:bottom w:w="0" w:type="dxa"/>
            <w:right w:w="108" w:type="dxa"/>
          </w:tblCellMar>
        </w:tblPrEx>
        <w:trPr>
          <w:trHeight w:val="330" w:hRule="atLeast"/>
        </w:trPr>
        <w:tc>
          <w:tcPr>
            <w:tcW w:w="8921" w:type="dxa"/>
            <w:gridSpan w:val="6"/>
            <w:tcBorders>
              <w:top w:val="nil"/>
              <w:left w:val="nil"/>
              <w:bottom w:val="nil"/>
              <w:right w:val="nil"/>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注：该专业</w:t>
            </w:r>
            <w:r>
              <w:rPr>
                <w:rFonts w:hint="eastAsia" w:ascii="仿宋" w:hAnsi="仿宋" w:eastAsia="仿宋" w:cs="宋体"/>
                <w:bCs/>
                <w:kern w:val="0"/>
                <w:sz w:val="24"/>
                <w:szCs w:val="24"/>
              </w:rPr>
              <w:t>教学计划</w:t>
            </w:r>
            <w:r>
              <w:rPr>
                <w:rFonts w:hint="eastAsia" w:ascii="仿宋" w:hAnsi="仿宋" w:eastAsia="仿宋" w:cs="宋体"/>
                <w:kern w:val="0"/>
                <w:sz w:val="24"/>
                <w:szCs w:val="24"/>
              </w:rPr>
              <w:t>根据省考试院最终定稿确定</w:t>
            </w:r>
          </w:p>
        </w:tc>
      </w:tr>
    </w:tbl>
    <w:p>
      <w:pPr>
        <w:spacing w:line="360" w:lineRule="auto"/>
        <w:jc w:val="left"/>
        <w:rPr>
          <w:sz w:val="24"/>
          <w:szCs w:val="21"/>
        </w:rPr>
      </w:pPr>
    </w:p>
    <w:p>
      <w:pPr>
        <w:spacing w:line="360" w:lineRule="auto"/>
        <w:jc w:val="left"/>
        <w:rPr>
          <w:sz w:val="24"/>
          <w:szCs w:val="21"/>
        </w:rPr>
      </w:pPr>
    </w:p>
    <w:p>
      <w:pPr>
        <w:spacing w:line="360" w:lineRule="auto"/>
        <w:jc w:val="left"/>
        <w:rPr>
          <w:sz w:val="24"/>
          <w:szCs w:val="21"/>
        </w:rPr>
      </w:pPr>
    </w:p>
    <w:p>
      <w:pPr>
        <w:spacing w:line="360" w:lineRule="auto"/>
        <w:jc w:val="left"/>
        <w:rPr>
          <w:sz w:val="24"/>
          <w:szCs w:val="21"/>
        </w:rPr>
      </w:pPr>
    </w:p>
    <w:p>
      <w:pPr>
        <w:spacing w:line="360" w:lineRule="auto"/>
        <w:jc w:val="left"/>
        <w:rPr>
          <w:sz w:val="24"/>
          <w:szCs w:val="21"/>
        </w:rPr>
      </w:pPr>
    </w:p>
    <w:p>
      <w:pPr>
        <w:spacing w:line="360" w:lineRule="auto"/>
        <w:jc w:val="left"/>
        <w:rPr>
          <w:sz w:val="24"/>
          <w:szCs w:val="21"/>
        </w:rPr>
      </w:pPr>
    </w:p>
    <w:p>
      <w:pPr>
        <w:spacing w:line="360" w:lineRule="auto"/>
        <w:jc w:val="left"/>
        <w:rPr>
          <w:sz w:val="24"/>
          <w:szCs w:val="21"/>
        </w:rPr>
      </w:pPr>
    </w:p>
    <w:p>
      <w:pPr>
        <w:spacing w:line="360" w:lineRule="auto"/>
        <w:jc w:val="left"/>
        <w:rPr>
          <w:szCs w:val="21"/>
        </w:rPr>
      </w:pPr>
    </w:p>
    <w:tbl>
      <w:tblPr>
        <w:tblStyle w:val="14"/>
        <w:tblW w:w="8921" w:type="dxa"/>
        <w:tblInd w:w="118" w:type="dxa"/>
        <w:tblLayout w:type="fixed"/>
        <w:tblCellMar>
          <w:top w:w="0" w:type="dxa"/>
          <w:left w:w="108" w:type="dxa"/>
          <w:bottom w:w="0" w:type="dxa"/>
          <w:right w:w="108" w:type="dxa"/>
        </w:tblCellMar>
      </w:tblPr>
      <w:tblGrid>
        <w:gridCol w:w="1240"/>
        <w:gridCol w:w="700"/>
        <w:gridCol w:w="885"/>
        <w:gridCol w:w="3402"/>
        <w:gridCol w:w="1276"/>
        <w:gridCol w:w="1418"/>
      </w:tblGrid>
      <w:tr>
        <w:tblPrEx>
          <w:tblLayout w:type="fixed"/>
          <w:tblCellMar>
            <w:top w:w="0" w:type="dxa"/>
            <w:left w:w="108" w:type="dxa"/>
            <w:bottom w:w="0" w:type="dxa"/>
            <w:right w:w="108" w:type="dxa"/>
          </w:tblCellMar>
        </w:tblPrEx>
        <w:trPr>
          <w:trHeight w:val="360" w:hRule="atLeast"/>
        </w:trPr>
        <w:tc>
          <w:tcPr>
            <w:tcW w:w="8921" w:type="dxa"/>
            <w:gridSpan w:val="6"/>
            <w:tcBorders>
              <w:top w:val="single" w:color="auto" w:sz="8" w:space="0"/>
              <w:left w:val="single" w:color="auto" w:sz="8" w:space="0"/>
              <w:bottom w:val="nil"/>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旅游管理（本科）专业教学计划</w:t>
            </w:r>
          </w:p>
        </w:tc>
      </w:tr>
      <w:tr>
        <w:tblPrEx>
          <w:tblLayout w:type="fixed"/>
          <w:tblCellMar>
            <w:top w:w="0" w:type="dxa"/>
            <w:left w:w="108" w:type="dxa"/>
            <w:bottom w:w="0" w:type="dxa"/>
            <w:right w:w="108" w:type="dxa"/>
          </w:tblCellMar>
        </w:tblPrEx>
        <w:trPr>
          <w:trHeight w:val="345" w:hRule="atLeast"/>
        </w:trPr>
        <w:tc>
          <w:tcPr>
            <w:tcW w:w="8921"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 xml:space="preserve">主考院校：浙江工商大学      专业代码：1020210   </w:t>
            </w:r>
          </w:p>
        </w:tc>
      </w:tr>
      <w:tr>
        <w:tblPrEx>
          <w:tblLayout w:type="fixed"/>
          <w:tblCellMar>
            <w:top w:w="0" w:type="dxa"/>
            <w:left w:w="108" w:type="dxa"/>
            <w:bottom w:w="0" w:type="dxa"/>
            <w:right w:w="108" w:type="dxa"/>
          </w:tblCellMar>
        </w:tblPrEx>
        <w:trPr>
          <w:trHeight w:val="468"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课程类型</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课程代码</w:t>
            </w:r>
          </w:p>
        </w:tc>
        <w:tc>
          <w:tcPr>
            <w:tcW w:w="340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课程名称</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学分</w:t>
            </w:r>
          </w:p>
        </w:tc>
        <w:tc>
          <w:tcPr>
            <w:tcW w:w="1418" w:type="dxa"/>
            <w:vMerge w:val="restart"/>
            <w:tcBorders>
              <w:top w:val="nil"/>
              <w:left w:val="single" w:color="auto" w:sz="4" w:space="0"/>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考试形式</w:t>
            </w:r>
          </w:p>
        </w:tc>
      </w:tr>
      <w:tr>
        <w:tblPrEx>
          <w:tblLayout w:type="fixed"/>
          <w:tblCellMar>
            <w:top w:w="0" w:type="dxa"/>
            <w:left w:w="108" w:type="dxa"/>
            <w:bottom w:w="0" w:type="dxa"/>
            <w:right w:w="108" w:type="dxa"/>
          </w:tblCellMar>
        </w:tblPrEx>
        <w:trPr>
          <w:trHeight w:val="468"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340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418" w:type="dxa"/>
            <w:vMerge w:val="continue"/>
            <w:tcBorders>
              <w:top w:val="nil"/>
              <w:left w:val="single" w:color="auto" w:sz="4" w:space="0"/>
              <w:bottom w:val="single" w:color="auto" w:sz="4" w:space="0"/>
              <w:right w:val="single" w:color="auto" w:sz="8" w:space="0"/>
            </w:tcBorders>
            <w:vAlign w:val="center"/>
          </w:tcPr>
          <w:p>
            <w:pPr>
              <w:widowControl/>
              <w:spacing w:line="360" w:lineRule="auto"/>
              <w:jc w:val="left"/>
              <w:rPr>
                <w:rFonts w:ascii="仿宋" w:hAnsi="仿宋" w:eastAsia="仿宋" w:cs="宋体"/>
                <w:b/>
                <w:bCs/>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基础课程</w:t>
            </w: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03708</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8" w:type="dxa"/>
            <w:vMerge w:val="restart"/>
            <w:tcBorders>
              <w:top w:val="nil"/>
              <w:left w:val="single" w:color="auto" w:sz="4" w:space="0"/>
              <w:bottom w:val="single" w:color="000000"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免考课程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03709</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vMerge w:val="continue"/>
            <w:tcBorders>
              <w:top w:val="nil"/>
              <w:left w:val="single" w:color="auto" w:sz="4" w:space="0"/>
              <w:bottom w:val="single" w:color="000000"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00015</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英语（二）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418" w:type="dxa"/>
            <w:vMerge w:val="continue"/>
            <w:tcBorders>
              <w:top w:val="nil"/>
              <w:left w:val="single" w:color="auto" w:sz="4" w:space="0"/>
              <w:bottom w:val="single" w:color="000000"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核心课程</w:t>
            </w: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00067</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财务管理学</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00058</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市场营销学</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00197</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旅游资源规划与开发（实）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5（实）</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00198</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旅游企业投资与管理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自考365</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00200</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客源国概况（实）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4（实）</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885"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21063</w:t>
            </w:r>
          </w:p>
        </w:tc>
        <w:tc>
          <w:tcPr>
            <w:tcW w:w="3402"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旅游管理毕业论文</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不计学分</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345" w:hRule="atLeast"/>
        </w:trPr>
        <w:tc>
          <w:tcPr>
            <w:tcW w:w="1240"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选修课程</w:t>
            </w: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00179</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谈判与推销技巧</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00054</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管理学原理</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00315</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当代中国政治制度</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00034</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社会学概论</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06088</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管理思想史</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40"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0"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885"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00154</w:t>
            </w:r>
          </w:p>
        </w:tc>
        <w:tc>
          <w:tcPr>
            <w:tcW w:w="3402"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企业管理咨询（实）</w:t>
            </w:r>
          </w:p>
        </w:tc>
        <w:tc>
          <w:tcPr>
            <w:tcW w:w="1276"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实践课程</w:t>
            </w:r>
          </w:p>
        </w:tc>
      </w:tr>
      <w:tr>
        <w:tblPrEx>
          <w:tblLayout w:type="fixed"/>
          <w:tblCellMar>
            <w:top w:w="0" w:type="dxa"/>
            <w:left w:w="108" w:type="dxa"/>
            <w:bottom w:w="0" w:type="dxa"/>
            <w:right w:w="108" w:type="dxa"/>
          </w:tblCellMar>
        </w:tblPrEx>
        <w:trPr>
          <w:trHeight w:val="345" w:hRule="atLeast"/>
        </w:trPr>
        <w:tc>
          <w:tcPr>
            <w:tcW w:w="6227"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总计学分</w:t>
            </w:r>
          </w:p>
        </w:tc>
        <w:tc>
          <w:tcPr>
            <w:tcW w:w="1276" w:type="dxa"/>
            <w:tcBorders>
              <w:top w:val="nil"/>
              <w:left w:val="nil"/>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68</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40" w:hRule="atLeast"/>
        </w:trPr>
        <w:tc>
          <w:tcPr>
            <w:tcW w:w="1240" w:type="dxa"/>
            <w:tcBorders>
              <w:top w:val="nil"/>
              <w:left w:val="nil"/>
              <w:bottom w:val="nil"/>
              <w:right w:val="nil"/>
            </w:tcBorders>
            <w:shd w:val="clear" w:color="auto" w:fill="auto"/>
            <w:vAlign w:val="center"/>
          </w:tcPr>
          <w:p>
            <w:pPr>
              <w:widowControl/>
              <w:jc w:val="center"/>
              <w:rPr>
                <w:rFonts w:ascii="仿宋" w:hAnsi="仿宋" w:eastAsia="仿宋" w:cs="宋体"/>
                <w:kern w:val="0"/>
                <w:sz w:val="24"/>
                <w:szCs w:val="24"/>
              </w:rPr>
            </w:pPr>
          </w:p>
        </w:tc>
        <w:tc>
          <w:tcPr>
            <w:tcW w:w="700"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885" w:type="dxa"/>
            <w:tcBorders>
              <w:top w:val="nil"/>
              <w:left w:val="nil"/>
              <w:bottom w:val="nil"/>
              <w:right w:val="nil"/>
            </w:tcBorders>
            <w:shd w:val="clear" w:color="auto" w:fill="auto"/>
            <w:vAlign w:val="center"/>
          </w:tcPr>
          <w:p>
            <w:pPr>
              <w:widowControl/>
              <w:jc w:val="center"/>
              <w:rPr>
                <w:rFonts w:ascii="仿宋" w:hAnsi="仿宋" w:eastAsia="仿宋" w:cs="Times New Roman"/>
                <w:kern w:val="0"/>
                <w:sz w:val="20"/>
                <w:szCs w:val="20"/>
              </w:rPr>
            </w:pPr>
          </w:p>
        </w:tc>
        <w:tc>
          <w:tcPr>
            <w:tcW w:w="3402"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276"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c>
          <w:tcPr>
            <w:tcW w:w="1418" w:type="dxa"/>
            <w:tcBorders>
              <w:top w:val="nil"/>
              <w:left w:val="nil"/>
              <w:bottom w:val="nil"/>
              <w:right w:val="nil"/>
            </w:tcBorders>
            <w:shd w:val="clear" w:color="auto" w:fill="auto"/>
            <w:vAlign w:val="center"/>
          </w:tcPr>
          <w:p>
            <w:pPr>
              <w:widowControl/>
              <w:jc w:val="left"/>
              <w:rPr>
                <w:rFonts w:ascii="仿宋" w:hAnsi="仿宋" w:eastAsia="仿宋" w:cs="Times New Roman"/>
                <w:kern w:val="0"/>
                <w:sz w:val="20"/>
                <w:szCs w:val="20"/>
              </w:rPr>
            </w:pPr>
          </w:p>
        </w:tc>
      </w:tr>
      <w:tr>
        <w:tblPrEx>
          <w:tblLayout w:type="fixed"/>
          <w:tblCellMar>
            <w:top w:w="0" w:type="dxa"/>
            <w:left w:w="108" w:type="dxa"/>
            <w:bottom w:w="0" w:type="dxa"/>
            <w:right w:w="108" w:type="dxa"/>
          </w:tblCellMar>
        </w:tblPrEx>
        <w:trPr>
          <w:trHeight w:val="330" w:hRule="atLeast"/>
        </w:trPr>
        <w:tc>
          <w:tcPr>
            <w:tcW w:w="8921" w:type="dxa"/>
            <w:gridSpan w:val="6"/>
            <w:tcBorders>
              <w:top w:val="nil"/>
              <w:left w:val="nil"/>
              <w:bottom w:val="nil"/>
              <w:right w:val="nil"/>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注：该专业</w:t>
            </w:r>
            <w:r>
              <w:rPr>
                <w:rFonts w:hint="eastAsia" w:ascii="仿宋" w:hAnsi="仿宋" w:eastAsia="仿宋" w:cs="宋体"/>
                <w:bCs/>
                <w:kern w:val="0"/>
                <w:sz w:val="24"/>
                <w:szCs w:val="24"/>
              </w:rPr>
              <w:t>教学计划</w:t>
            </w:r>
            <w:r>
              <w:rPr>
                <w:rFonts w:hint="eastAsia" w:ascii="仿宋" w:hAnsi="仿宋" w:eastAsia="仿宋" w:cs="宋体"/>
                <w:kern w:val="0"/>
                <w:sz w:val="24"/>
                <w:szCs w:val="24"/>
              </w:rPr>
              <w:t>根据省考试院最终定稿确定</w:t>
            </w:r>
          </w:p>
        </w:tc>
      </w:tr>
    </w:tbl>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p>
      <w:pPr>
        <w:spacing w:line="360" w:lineRule="auto"/>
        <w:jc w:val="left"/>
        <w:rPr>
          <w:szCs w:val="21"/>
        </w:rPr>
      </w:pPr>
    </w:p>
    <w:tbl>
      <w:tblPr>
        <w:tblStyle w:val="14"/>
        <w:tblW w:w="9498" w:type="dxa"/>
        <w:tblInd w:w="108" w:type="dxa"/>
        <w:tblLayout w:type="fixed"/>
        <w:tblCellMar>
          <w:top w:w="0" w:type="dxa"/>
          <w:left w:w="108" w:type="dxa"/>
          <w:bottom w:w="0" w:type="dxa"/>
          <w:right w:w="108" w:type="dxa"/>
        </w:tblCellMar>
      </w:tblPr>
      <w:tblGrid>
        <w:gridCol w:w="1276"/>
        <w:gridCol w:w="709"/>
        <w:gridCol w:w="1559"/>
        <w:gridCol w:w="2977"/>
        <w:gridCol w:w="1559"/>
        <w:gridCol w:w="1418"/>
      </w:tblGrid>
      <w:tr>
        <w:tblPrEx>
          <w:tblLayout w:type="fixed"/>
          <w:tblCellMar>
            <w:top w:w="0" w:type="dxa"/>
            <w:left w:w="108" w:type="dxa"/>
            <w:bottom w:w="0" w:type="dxa"/>
            <w:right w:w="108" w:type="dxa"/>
          </w:tblCellMar>
        </w:tblPrEx>
        <w:trPr>
          <w:trHeight w:val="360" w:hRule="atLeast"/>
        </w:trPr>
        <w:tc>
          <w:tcPr>
            <w:tcW w:w="9498" w:type="dxa"/>
            <w:gridSpan w:val="6"/>
            <w:tcBorders>
              <w:top w:val="single" w:color="auto" w:sz="8" w:space="0"/>
              <w:left w:val="single" w:color="auto" w:sz="8" w:space="0"/>
              <w:bottom w:val="nil"/>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电子商务（本科）专业计划</w:t>
            </w:r>
          </w:p>
        </w:tc>
      </w:tr>
      <w:tr>
        <w:tblPrEx>
          <w:tblLayout w:type="fixed"/>
          <w:tblCellMar>
            <w:top w:w="0" w:type="dxa"/>
            <w:left w:w="108" w:type="dxa"/>
            <w:bottom w:w="0" w:type="dxa"/>
            <w:right w:w="108" w:type="dxa"/>
          </w:tblCellMar>
        </w:tblPrEx>
        <w:trPr>
          <w:trHeight w:val="345" w:hRule="atLeast"/>
        </w:trPr>
        <w:tc>
          <w:tcPr>
            <w:tcW w:w="9498"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 xml:space="preserve">主考院校：浙江工商大学      专业代码：1020216   </w:t>
            </w:r>
          </w:p>
        </w:tc>
      </w:tr>
      <w:tr>
        <w:tblPrEx>
          <w:tblLayout w:type="fixed"/>
          <w:tblCellMar>
            <w:top w:w="0" w:type="dxa"/>
            <w:left w:w="108" w:type="dxa"/>
            <w:bottom w:w="0" w:type="dxa"/>
            <w:right w:w="108" w:type="dxa"/>
          </w:tblCellMar>
        </w:tblPrEx>
        <w:trPr>
          <w:trHeight w:val="468" w:hRule="atLeast"/>
        </w:trPr>
        <w:tc>
          <w:tcPr>
            <w:tcW w:w="127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课程类型</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课程代码</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课程名称</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学分</w:t>
            </w:r>
          </w:p>
        </w:tc>
        <w:tc>
          <w:tcPr>
            <w:tcW w:w="1418" w:type="dxa"/>
            <w:vMerge w:val="restart"/>
            <w:tcBorders>
              <w:top w:val="nil"/>
              <w:left w:val="single" w:color="auto" w:sz="4" w:space="0"/>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考试形式</w:t>
            </w:r>
          </w:p>
        </w:tc>
      </w:tr>
      <w:tr>
        <w:tblPrEx>
          <w:tblLayout w:type="fixed"/>
          <w:tblCellMar>
            <w:top w:w="0" w:type="dxa"/>
            <w:left w:w="108" w:type="dxa"/>
            <w:bottom w:w="0" w:type="dxa"/>
            <w:right w:w="108" w:type="dxa"/>
          </w:tblCellMar>
        </w:tblPrEx>
        <w:trPr>
          <w:trHeight w:val="468"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559"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1418" w:type="dxa"/>
            <w:vMerge w:val="continue"/>
            <w:tcBorders>
              <w:top w:val="nil"/>
              <w:left w:val="single" w:color="auto" w:sz="4" w:space="0"/>
              <w:bottom w:val="single" w:color="auto" w:sz="4" w:space="0"/>
              <w:right w:val="single" w:color="auto" w:sz="8" w:space="0"/>
            </w:tcBorders>
            <w:vAlign w:val="center"/>
          </w:tcPr>
          <w:p>
            <w:pPr>
              <w:widowControl/>
              <w:spacing w:line="360" w:lineRule="auto"/>
              <w:jc w:val="left"/>
              <w:rPr>
                <w:rFonts w:ascii="仿宋" w:hAnsi="仿宋" w:eastAsia="仿宋" w:cs="宋体"/>
                <w:b/>
                <w:bCs/>
                <w:kern w:val="0"/>
                <w:sz w:val="24"/>
                <w:szCs w:val="24"/>
              </w:rPr>
            </w:pPr>
          </w:p>
        </w:tc>
      </w:tr>
      <w:tr>
        <w:tblPrEx>
          <w:tblLayout w:type="fixed"/>
          <w:tblCellMar>
            <w:top w:w="0" w:type="dxa"/>
            <w:left w:w="108" w:type="dxa"/>
            <w:bottom w:w="0" w:type="dxa"/>
            <w:right w:w="108" w:type="dxa"/>
          </w:tblCellMar>
        </w:tblPrEx>
        <w:trPr>
          <w:trHeight w:val="345" w:hRule="atLeast"/>
        </w:trPr>
        <w:tc>
          <w:tcPr>
            <w:tcW w:w="127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基础课程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03708</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中国近现代史纲要</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418" w:type="dxa"/>
            <w:vMerge w:val="restart"/>
            <w:tcBorders>
              <w:top w:val="nil"/>
              <w:left w:val="single" w:color="auto" w:sz="4" w:space="0"/>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免考课程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03709</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马克思主义基本原理概论</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vMerge w:val="continue"/>
            <w:tcBorders>
              <w:top w:val="nil"/>
              <w:left w:val="single" w:color="auto" w:sz="4" w:space="0"/>
              <w:bottom w:val="single" w:color="auto"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00015</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英语（二）</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418" w:type="dxa"/>
            <w:vMerge w:val="continue"/>
            <w:tcBorders>
              <w:top w:val="nil"/>
              <w:left w:val="single" w:color="auto" w:sz="4" w:space="0"/>
              <w:bottom w:val="single" w:color="auto" w:sz="4" w:space="0"/>
              <w:right w:val="single" w:color="auto" w:sz="8" w:space="0"/>
            </w:tcBorders>
            <w:vAlign w:val="center"/>
          </w:tcPr>
          <w:p>
            <w:pPr>
              <w:widowControl/>
              <w:spacing w:line="360" w:lineRule="auto"/>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345" w:hRule="atLeast"/>
        </w:trPr>
        <w:tc>
          <w:tcPr>
            <w:tcW w:w="127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核心课程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00908/00909</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网络营销与策划（含实）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5（含实2）</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00915/00916</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电子商务与现代物流（含实）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6（含实3）</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00913/00914</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电子商务与金融（含实）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6（含实3）</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00906/00907</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电子商务网站设计原理（含实）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6（含实3）</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00997/00998</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电子商务安全导论（含实）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5（含实2）</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00911/00912</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互联网数据库（含实）</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6（含实3）</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含实课程</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21050</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毕业设计（论文）</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不计学分</w:t>
            </w:r>
          </w:p>
        </w:tc>
        <w:tc>
          <w:tcPr>
            <w:tcW w:w="1418" w:type="dxa"/>
            <w:tcBorders>
              <w:top w:val="nil"/>
              <w:left w:val="nil"/>
              <w:bottom w:val="single" w:color="auto" w:sz="4"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345" w:hRule="atLeast"/>
        </w:trPr>
        <w:tc>
          <w:tcPr>
            <w:tcW w:w="1276" w:type="dxa"/>
            <w:vMerge w:val="restart"/>
            <w:tcBorders>
              <w:top w:val="nil"/>
              <w:left w:val="single" w:color="auto" w:sz="8" w:space="0"/>
              <w:bottom w:val="single" w:color="auto" w:sz="4"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选修课程</w:t>
            </w:r>
          </w:p>
        </w:tc>
        <w:tc>
          <w:tcPr>
            <w:tcW w:w="70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00179</w:t>
            </w:r>
          </w:p>
        </w:tc>
        <w:tc>
          <w:tcPr>
            <w:tcW w:w="297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谈判与推销技巧</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00054</w:t>
            </w:r>
          </w:p>
        </w:tc>
        <w:tc>
          <w:tcPr>
            <w:tcW w:w="297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管理学原理</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06088</w:t>
            </w:r>
          </w:p>
        </w:tc>
        <w:tc>
          <w:tcPr>
            <w:tcW w:w="297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管理思想史</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1276" w:type="dxa"/>
            <w:vMerge w:val="continue"/>
            <w:tcBorders>
              <w:top w:val="nil"/>
              <w:left w:val="single" w:color="auto" w:sz="8"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szCs w:val="24"/>
              </w:rPr>
            </w:pPr>
          </w:p>
        </w:tc>
        <w:tc>
          <w:tcPr>
            <w:tcW w:w="70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00034</w:t>
            </w:r>
          </w:p>
        </w:tc>
        <w:tc>
          <w:tcPr>
            <w:tcW w:w="2977" w:type="dxa"/>
            <w:tcBorders>
              <w:top w:val="nil"/>
              <w:left w:val="nil"/>
              <w:bottom w:val="single" w:color="auto" w:sz="4" w:space="0"/>
              <w:right w:val="single" w:color="auto" w:sz="4" w:space="0"/>
            </w:tcBorders>
            <w:shd w:val="clear" w:color="000000" w:fill="CCFFCC"/>
            <w:vAlign w:val="center"/>
          </w:tcPr>
          <w:p>
            <w:pPr>
              <w:widowControl/>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社会学概论</w:t>
            </w:r>
          </w:p>
        </w:tc>
        <w:tc>
          <w:tcPr>
            <w:tcW w:w="1559" w:type="dxa"/>
            <w:tcBorders>
              <w:top w:val="nil"/>
              <w:left w:val="nil"/>
              <w:bottom w:val="single" w:color="auto" w:sz="4" w:space="0"/>
              <w:right w:val="single" w:color="auto" w:sz="4"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418" w:type="dxa"/>
            <w:tcBorders>
              <w:top w:val="nil"/>
              <w:left w:val="nil"/>
              <w:bottom w:val="single" w:color="auto" w:sz="4" w:space="0"/>
              <w:right w:val="single" w:color="auto" w:sz="8" w:space="0"/>
            </w:tcBorders>
            <w:shd w:val="clear" w:color="000000" w:fill="CCFFCC"/>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过程性评价</w:t>
            </w:r>
          </w:p>
        </w:tc>
      </w:tr>
      <w:tr>
        <w:tblPrEx>
          <w:tblLayout w:type="fixed"/>
          <w:tblCellMar>
            <w:top w:w="0" w:type="dxa"/>
            <w:left w:w="108" w:type="dxa"/>
            <w:bottom w:w="0" w:type="dxa"/>
            <w:right w:w="108" w:type="dxa"/>
          </w:tblCellMar>
        </w:tblPrEx>
        <w:trPr>
          <w:trHeight w:val="345" w:hRule="atLeast"/>
        </w:trPr>
        <w:tc>
          <w:tcPr>
            <w:tcW w:w="6521"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总计学分</w:t>
            </w:r>
          </w:p>
        </w:tc>
        <w:tc>
          <w:tcPr>
            <w:tcW w:w="1559" w:type="dxa"/>
            <w:tcBorders>
              <w:top w:val="nil"/>
              <w:left w:val="nil"/>
              <w:bottom w:val="single" w:color="auto" w:sz="8" w:space="0"/>
              <w:right w:val="single" w:color="auto" w:sz="4" w:space="0"/>
            </w:tcBorders>
            <w:shd w:val="clear" w:color="auto" w:fill="auto"/>
            <w:vAlign w:val="center"/>
          </w:tcPr>
          <w:p>
            <w:pPr>
              <w:widowControl/>
              <w:spacing w:line="360" w:lineRule="auto"/>
              <w:jc w:val="center"/>
              <w:rPr>
                <w:rFonts w:ascii="仿宋" w:hAnsi="仿宋" w:eastAsia="仿宋" w:cs="宋体"/>
                <w:b/>
                <w:bCs/>
                <w:kern w:val="0"/>
                <w:sz w:val="24"/>
                <w:szCs w:val="24"/>
              </w:rPr>
            </w:pPr>
            <w:r>
              <w:rPr>
                <w:rFonts w:hint="eastAsia" w:ascii="仿宋" w:hAnsi="仿宋" w:eastAsia="仿宋" w:cs="宋体"/>
                <w:b/>
                <w:bCs/>
                <w:kern w:val="0"/>
                <w:sz w:val="24"/>
                <w:szCs w:val="24"/>
              </w:rPr>
              <w:t>77</w:t>
            </w:r>
          </w:p>
        </w:tc>
        <w:tc>
          <w:tcPr>
            <w:tcW w:w="1418" w:type="dxa"/>
            <w:tcBorders>
              <w:top w:val="nil"/>
              <w:left w:val="nil"/>
              <w:bottom w:val="single" w:color="auto" w:sz="8" w:space="0"/>
              <w:right w:val="single" w:color="auto" w:sz="8" w:space="0"/>
            </w:tcBorders>
            <w:shd w:val="clear" w:color="auto" w:fill="auto"/>
            <w:vAlign w:val="center"/>
          </w:tcPr>
          <w:p>
            <w:pPr>
              <w:widowControl/>
              <w:spacing w:line="360" w:lineRule="auto"/>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405" w:hRule="atLeast"/>
        </w:trPr>
        <w:tc>
          <w:tcPr>
            <w:tcW w:w="9498" w:type="dxa"/>
            <w:gridSpan w:val="6"/>
            <w:tcBorders>
              <w:top w:val="single" w:color="auto" w:sz="8" w:space="0"/>
              <w:left w:val="nil"/>
              <w:bottom w:val="nil"/>
              <w:right w:val="nil"/>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　</w:t>
            </w:r>
          </w:p>
        </w:tc>
      </w:tr>
      <w:tr>
        <w:tblPrEx>
          <w:tblLayout w:type="fixed"/>
          <w:tblCellMar>
            <w:top w:w="0" w:type="dxa"/>
            <w:left w:w="108" w:type="dxa"/>
            <w:bottom w:w="0" w:type="dxa"/>
            <w:right w:w="108" w:type="dxa"/>
          </w:tblCellMar>
        </w:tblPrEx>
        <w:trPr>
          <w:trHeight w:val="330" w:hRule="atLeast"/>
        </w:trPr>
        <w:tc>
          <w:tcPr>
            <w:tcW w:w="9498" w:type="dxa"/>
            <w:gridSpan w:val="6"/>
            <w:tcBorders>
              <w:top w:val="nil"/>
              <w:left w:val="nil"/>
              <w:bottom w:val="nil"/>
              <w:right w:val="nil"/>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注：该专业</w:t>
            </w:r>
            <w:r>
              <w:rPr>
                <w:rFonts w:hint="eastAsia" w:ascii="仿宋" w:hAnsi="仿宋" w:eastAsia="仿宋" w:cs="宋体"/>
                <w:bCs/>
                <w:kern w:val="0"/>
                <w:sz w:val="24"/>
                <w:szCs w:val="24"/>
              </w:rPr>
              <w:t>教学计划</w:t>
            </w:r>
            <w:r>
              <w:rPr>
                <w:rFonts w:hint="eastAsia" w:ascii="仿宋" w:hAnsi="仿宋" w:eastAsia="仿宋" w:cs="宋体"/>
                <w:kern w:val="0"/>
                <w:sz w:val="24"/>
                <w:szCs w:val="24"/>
              </w:rPr>
              <w:t>根据省考试院最终定稿确定</w:t>
            </w:r>
          </w:p>
        </w:tc>
      </w:tr>
    </w:tbl>
    <w:p>
      <w:pPr>
        <w:spacing w:line="360" w:lineRule="auto"/>
        <w:jc w:val="left"/>
        <w:rPr>
          <w:szCs w:val="21"/>
        </w:rPr>
      </w:pPr>
    </w:p>
    <w:p>
      <w:pPr>
        <w:spacing w:line="360" w:lineRule="auto"/>
        <w:jc w:val="left"/>
        <w:rPr>
          <w:szCs w:val="21"/>
        </w:rPr>
      </w:pPr>
    </w:p>
    <w:p>
      <w:pPr>
        <w:spacing w:line="360" w:lineRule="auto"/>
        <w:jc w:val="left"/>
        <w:rPr>
          <w:szCs w:val="21"/>
        </w:rPr>
        <w:sectPr>
          <w:pgSz w:w="11906" w:h="16838"/>
          <w:pgMar w:top="1440" w:right="1800" w:bottom="1440" w:left="1800" w:header="851" w:footer="992" w:gutter="0"/>
          <w:pgNumType w:start="1"/>
          <w:cols w:space="425" w:num="1"/>
          <w:titlePg/>
          <w:docGrid w:type="lines" w:linePitch="312" w:charSpace="0"/>
        </w:sectPr>
      </w:pPr>
    </w:p>
    <w:p>
      <w:pPr>
        <w:spacing w:line="360" w:lineRule="auto"/>
        <w:jc w:val="left"/>
        <w:rPr>
          <w:rFonts w:asciiTheme="minorEastAsia" w:hAnsiTheme="minorEastAsia"/>
          <w:sz w:val="28"/>
          <w:szCs w:val="28"/>
        </w:rPr>
      </w:pPr>
      <w:bookmarkStart w:id="9" w:name="_Toc351632773"/>
      <w:r>
        <w:rPr>
          <w:rFonts w:hint="eastAsia" w:asciiTheme="minorEastAsia" w:hAnsiTheme="minorEastAsia"/>
          <w:bCs/>
          <w:sz w:val="28"/>
          <w:szCs w:val="28"/>
        </w:rPr>
        <w:t>附件</w:t>
      </w:r>
      <w:bookmarkEnd w:id="9"/>
      <w:r>
        <w:rPr>
          <w:rFonts w:hint="eastAsia" w:asciiTheme="minorEastAsia" w:hAnsiTheme="minorEastAsia"/>
          <w:bCs/>
          <w:sz w:val="28"/>
          <w:szCs w:val="28"/>
        </w:rPr>
        <w:t>二</w:t>
      </w:r>
      <w:r>
        <w:rPr>
          <w:rFonts w:hint="eastAsia" w:asciiTheme="minorEastAsia" w:hAnsiTheme="minorEastAsia"/>
          <w:sz w:val="28"/>
          <w:szCs w:val="28"/>
        </w:rPr>
        <w:t>（Excel表格）：实践课程报名格式</w:t>
      </w:r>
    </w:p>
    <w:p>
      <w:pPr>
        <w:jc w:val="center"/>
        <w:rPr>
          <w:rFonts w:ascii="仿宋" w:hAnsi="仿宋" w:eastAsia="仿宋"/>
          <w:kern w:val="0"/>
          <w:sz w:val="28"/>
          <w:szCs w:val="28"/>
        </w:rPr>
      </w:pPr>
      <w:r>
        <w:rPr>
          <w:rFonts w:ascii="仿宋" w:hAnsi="仿宋" w:eastAsia="仿宋"/>
          <w:kern w:val="0"/>
          <w:sz w:val="28"/>
          <w:szCs w:val="28"/>
        </w:rPr>
        <w:t>xx</w:t>
      </w:r>
      <w:r>
        <w:rPr>
          <w:rFonts w:hint="eastAsia" w:ascii="仿宋" w:hAnsi="仿宋" w:eastAsia="仿宋"/>
          <w:kern w:val="0"/>
          <w:sz w:val="28"/>
          <w:szCs w:val="28"/>
        </w:rPr>
        <w:t>学校  年上（或下）自考实践集体报名缴费清单</w:t>
      </w:r>
    </w:p>
    <w:p>
      <w:pPr>
        <w:rPr>
          <w:rFonts w:ascii="仿宋" w:hAnsi="仿宋" w:eastAsia="仿宋"/>
          <w:szCs w:val="21"/>
        </w:rPr>
      </w:pPr>
    </w:p>
    <w:tbl>
      <w:tblPr>
        <w:tblStyle w:val="14"/>
        <w:tblW w:w="8640" w:type="dxa"/>
        <w:jc w:val="center"/>
        <w:tblInd w:w="0" w:type="dxa"/>
        <w:tblLayout w:type="fixed"/>
        <w:tblCellMar>
          <w:top w:w="0" w:type="dxa"/>
          <w:left w:w="108" w:type="dxa"/>
          <w:bottom w:w="0" w:type="dxa"/>
          <w:right w:w="108" w:type="dxa"/>
        </w:tblCellMar>
      </w:tblPr>
      <w:tblGrid>
        <w:gridCol w:w="900"/>
        <w:gridCol w:w="1620"/>
        <w:gridCol w:w="876"/>
        <w:gridCol w:w="1356"/>
        <w:gridCol w:w="1116"/>
        <w:gridCol w:w="1512"/>
        <w:gridCol w:w="1260"/>
      </w:tblGrid>
      <w:tr>
        <w:tblPrEx>
          <w:tblLayout w:type="fixed"/>
          <w:tblCellMar>
            <w:top w:w="0" w:type="dxa"/>
            <w:left w:w="108" w:type="dxa"/>
            <w:bottom w:w="0" w:type="dxa"/>
            <w:right w:w="108" w:type="dxa"/>
          </w:tblCellMar>
        </w:tblPrEx>
        <w:trPr>
          <w:trHeight w:val="37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准考证号</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身份证号</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课程号</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课程</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金额</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3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5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r>
    </w:tbl>
    <w:p>
      <w:pPr>
        <w:spacing w:beforeLines="50"/>
        <w:ind w:left="720" w:hanging="720" w:hangingChars="300"/>
        <w:rPr>
          <w:rFonts w:ascii="仿宋" w:hAnsi="仿宋" w:eastAsia="仿宋"/>
          <w:sz w:val="24"/>
          <w:szCs w:val="24"/>
        </w:rPr>
      </w:pPr>
      <w:r>
        <w:rPr>
          <w:rFonts w:hint="eastAsia" w:ascii="仿宋" w:hAnsi="仿宋" w:eastAsia="仿宋"/>
          <w:sz w:val="24"/>
          <w:szCs w:val="24"/>
        </w:rPr>
        <w:t>备注：每门课程建立单独的Excel表格，多门课程建立多个Excel表格，统一打包上报浙江工商大学。</w:t>
      </w:r>
    </w:p>
    <w:p/>
    <w:p/>
    <w:p>
      <w:pPr>
        <w:spacing w:line="360" w:lineRule="auto"/>
        <w:jc w:val="left"/>
        <w:rPr>
          <w:szCs w:val="21"/>
        </w:rPr>
      </w:pPr>
    </w:p>
    <w:p>
      <w:pPr>
        <w:widowControl/>
        <w:jc w:val="left"/>
        <w:rPr>
          <w:szCs w:val="21"/>
        </w:rPr>
      </w:pPr>
    </w:p>
    <w:tbl>
      <w:tblPr>
        <w:tblStyle w:val="14"/>
        <w:tblW w:w="7737" w:type="dxa"/>
        <w:tblInd w:w="93" w:type="dxa"/>
        <w:tblLayout w:type="fixed"/>
        <w:tblCellMar>
          <w:top w:w="0" w:type="dxa"/>
          <w:left w:w="108" w:type="dxa"/>
          <w:bottom w:w="0" w:type="dxa"/>
          <w:right w:w="108" w:type="dxa"/>
        </w:tblCellMar>
      </w:tblPr>
      <w:tblGrid>
        <w:gridCol w:w="1405"/>
        <w:gridCol w:w="1404"/>
        <w:gridCol w:w="616"/>
        <w:gridCol w:w="616"/>
        <w:gridCol w:w="616"/>
        <w:gridCol w:w="616"/>
        <w:gridCol w:w="616"/>
        <w:gridCol w:w="616"/>
        <w:gridCol w:w="616"/>
        <w:gridCol w:w="616"/>
      </w:tblGrid>
      <w:tr>
        <w:tblPrEx>
          <w:tblLayout w:type="fixed"/>
          <w:tblCellMar>
            <w:top w:w="0" w:type="dxa"/>
            <w:left w:w="108" w:type="dxa"/>
            <w:bottom w:w="0" w:type="dxa"/>
            <w:right w:w="108" w:type="dxa"/>
          </w:tblCellMar>
        </w:tblPrEx>
        <w:trPr>
          <w:trHeight w:val="971" w:hRule="atLeast"/>
        </w:trPr>
        <w:tc>
          <w:tcPr>
            <w:tcW w:w="1405"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xx</w:t>
            </w:r>
            <w:r>
              <w:rPr>
                <w:rFonts w:hint="eastAsia" w:ascii="宋体" w:hAnsi="宋体" w:eastAsia="宋体" w:cs="Times New Roman"/>
                <w:kern w:val="0"/>
                <w:sz w:val="28"/>
                <w:szCs w:val="28"/>
              </w:rPr>
              <w:t>学校</w:t>
            </w:r>
            <w:r>
              <w:rPr>
                <w:rFonts w:ascii="Times New Roman" w:hAnsi="Times New Roman" w:eastAsia="宋体" w:cs="Times New Roman"/>
                <w:kern w:val="0"/>
                <w:sz w:val="28"/>
                <w:szCs w:val="28"/>
              </w:rPr>
              <w:t xml:space="preserve">   </w:t>
            </w:r>
            <w:r>
              <w:rPr>
                <w:rFonts w:hint="eastAsia" w:ascii="宋体" w:hAnsi="宋体" w:eastAsia="宋体" w:cs="Times New Roman"/>
                <w:kern w:val="0"/>
                <w:sz w:val="28"/>
                <w:szCs w:val="28"/>
              </w:rPr>
              <w:t>年上（或下）</w:t>
            </w:r>
            <w:r>
              <w:rPr>
                <w:rFonts w:ascii="Times New Roman" w:hAnsi="Times New Roman" w:eastAsia="宋体" w:cs="Times New Roman"/>
                <w:kern w:val="0"/>
                <w:sz w:val="28"/>
                <w:szCs w:val="28"/>
              </w:rPr>
              <w:t>xx</w:t>
            </w:r>
            <w:r>
              <w:rPr>
                <w:rFonts w:hint="eastAsia" w:ascii="宋体" w:hAnsi="宋体" w:eastAsia="宋体" w:cs="Times New Roman"/>
                <w:kern w:val="0"/>
                <w:sz w:val="28"/>
                <w:szCs w:val="28"/>
              </w:rPr>
              <w:t>专业专本衔接毕业论文集体报名缴费清单</w:t>
            </w:r>
          </w:p>
        </w:tc>
        <w:tc>
          <w:tcPr>
            <w:tcW w:w="1404"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single" w:color="auto" w:sz="4" w:space="0"/>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281"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准考证号</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71"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307"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71"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课程号</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971"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193"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论文代码</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319"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论文题目</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080"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86"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成绩</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1198"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指导教师</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不填</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662"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不填</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856" w:hRule="atLeast"/>
        </w:trPr>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8"/>
                <w:szCs w:val="28"/>
              </w:rPr>
            </w:pPr>
          </w:p>
        </w:tc>
        <w:tc>
          <w:tcPr>
            <w:tcW w:w="1404"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邮箱</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不填</w:t>
            </w: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c>
          <w:tcPr>
            <w:tcW w:w="616" w:type="dxa"/>
            <w:tcBorders>
              <w:top w:val="nil"/>
              <w:left w:val="nil"/>
              <w:bottom w:val="single" w:color="auto" w:sz="4" w:space="0"/>
              <w:right w:val="single" w:color="auto" w:sz="4" w:space="0"/>
            </w:tcBorders>
            <w:shd w:val="clear" w:color="auto" w:fill="auto"/>
            <w:textDirection w:val="btLr"/>
            <w:vAlign w:val="center"/>
          </w:tcPr>
          <w:p>
            <w:pPr>
              <w:widowControl/>
              <w:jc w:val="center"/>
              <w:rPr>
                <w:rFonts w:ascii="宋体" w:hAnsi="宋体" w:eastAsia="宋体" w:cs="宋体"/>
                <w:kern w:val="0"/>
                <w:sz w:val="24"/>
                <w:szCs w:val="24"/>
              </w:rPr>
            </w:pPr>
          </w:p>
        </w:tc>
      </w:tr>
    </w:tbl>
    <w:p>
      <w:pPr>
        <w:spacing w:line="360" w:lineRule="auto"/>
        <w:jc w:val="left"/>
        <w:rPr>
          <w:rFonts w:asciiTheme="minorEastAsia" w:hAnsiTheme="minorEastAsia"/>
          <w:sz w:val="28"/>
          <w:szCs w:val="28"/>
        </w:rPr>
      </w:pPr>
      <w:r>
        <w:rPr>
          <w:rFonts w:hint="eastAsia" w:asciiTheme="minorEastAsia" w:hAnsiTheme="minorEastAsia"/>
          <w:sz w:val="28"/>
          <w:szCs w:val="28"/>
        </w:rPr>
        <w:t>附件三</w:t>
      </w:r>
    </w:p>
    <w:p>
      <w:pPr>
        <w:widowControl/>
        <w:spacing w:line="400" w:lineRule="atLeast"/>
        <w:jc w:val="center"/>
        <w:rPr>
          <w:rFonts w:ascii="黑体" w:hAnsi="黑体" w:eastAsia="黑体"/>
          <w:kern w:val="0"/>
          <w:sz w:val="30"/>
          <w:szCs w:val="30"/>
        </w:rPr>
      </w:pPr>
      <w:r>
        <w:rPr>
          <w:rFonts w:hint="eastAsia" w:ascii="黑体" w:hAnsi="黑体" w:eastAsia="黑体"/>
          <w:kern w:val="0"/>
          <w:sz w:val="30"/>
          <w:szCs w:val="30"/>
        </w:rPr>
        <w:t>浙江工商大学自学考试专本衔接课程过程性评价实施细则</w:t>
      </w:r>
    </w:p>
    <w:p>
      <w:pPr>
        <w:widowControl/>
        <w:spacing w:beforeLines="50" w:line="440" w:lineRule="exact"/>
        <w:jc w:val="left"/>
        <w:rPr>
          <w:rFonts w:ascii="仿宋" w:hAnsi="仿宋" w:eastAsia="仿宋"/>
          <w:kern w:val="0"/>
          <w:sz w:val="28"/>
          <w:szCs w:val="28"/>
        </w:rPr>
      </w:pPr>
      <w:r>
        <w:rPr>
          <w:rFonts w:hint="eastAsia" w:ascii="仿宋" w:hAnsi="仿宋" w:eastAsia="仿宋"/>
          <w:kern w:val="0"/>
          <w:sz w:val="24"/>
        </w:rPr>
        <w:tab/>
      </w:r>
      <w:r>
        <w:rPr>
          <w:rFonts w:hint="eastAsia" w:ascii="仿宋" w:hAnsi="仿宋" w:eastAsia="仿宋"/>
          <w:kern w:val="0"/>
          <w:sz w:val="28"/>
          <w:szCs w:val="28"/>
        </w:rPr>
        <w:t xml:space="preserve"> 为强化教学过程管理，提升自考学习评价的科学性，加强对考生学习过程的指导与评价，提高教学质量，根据《浙江省自学考试过程性评价指导意见》的精神，结合自考专本衔接学生的实际情况，特制定浙江工商大学自考专本衔接课程过程性评价实施细则：</w:t>
      </w:r>
    </w:p>
    <w:p>
      <w:pPr>
        <w:widowControl/>
        <w:spacing w:line="440" w:lineRule="exact"/>
        <w:ind w:firstLine="538"/>
        <w:rPr>
          <w:rFonts w:ascii="仿宋" w:hAnsi="仿宋" w:eastAsia="仿宋"/>
          <w:b/>
          <w:bCs/>
          <w:kern w:val="0"/>
          <w:sz w:val="28"/>
          <w:szCs w:val="28"/>
        </w:rPr>
      </w:pPr>
      <w:r>
        <w:rPr>
          <w:rFonts w:hint="eastAsia" w:ascii="仿宋" w:hAnsi="仿宋" w:eastAsia="仿宋"/>
          <w:b/>
          <w:bCs/>
          <w:kern w:val="0"/>
          <w:sz w:val="28"/>
          <w:szCs w:val="28"/>
        </w:rPr>
        <w:t>一、组织机构与工作职责</w:t>
      </w:r>
    </w:p>
    <w:p>
      <w:pPr>
        <w:widowControl/>
        <w:spacing w:line="440" w:lineRule="exact"/>
        <w:ind w:firstLine="538"/>
        <w:rPr>
          <w:rFonts w:ascii="仿宋" w:hAnsi="仿宋" w:eastAsia="仿宋"/>
          <w:kern w:val="0"/>
          <w:sz w:val="28"/>
          <w:szCs w:val="28"/>
        </w:rPr>
      </w:pPr>
      <w:r>
        <w:rPr>
          <w:rFonts w:hint="eastAsia" w:ascii="仿宋" w:hAnsi="仿宋" w:eastAsia="仿宋"/>
          <w:kern w:val="0"/>
          <w:sz w:val="28"/>
          <w:szCs w:val="28"/>
        </w:rPr>
        <w:t>自考专本衔接课程过程性评价试点工作由浙江工商大学自学考办公室全面负责。校自考办要指定专人负责试点工作，精心组织，严格按省考试院的要求做好指导、监督、检查工作，确保人才培养质量。</w:t>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二、试点范围</w:t>
      </w:r>
    </w:p>
    <w:p>
      <w:pPr>
        <w:widowControl/>
        <w:spacing w:line="440" w:lineRule="exact"/>
        <w:ind w:firstLine="538"/>
        <w:jc w:val="left"/>
        <w:rPr>
          <w:rFonts w:ascii="仿宋" w:hAnsi="仿宋" w:eastAsia="仿宋"/>
          <w:kern w:val="0"/>
          <w:sz w:val="28"/>
          <w:szCs w:val="28"/>
        </w:rPr>
      </w:pPr>
      <w:r>
        <w:rPr>
          <w:rFonts w:hint="eastAsia" w:ascii="仿宋" w:hAnsi="仿宋" w:eastAsia="仿宋"/>
          <w:kern w:val="0"/>
          <w:sz w:val="28"/>
          <w:szCs w:val="28"/>
        </w:rPr>
        <w:t>浙江工商大学自考专本衔接学生，其选修课程的理论课实行统考和过程性评价相结合。</w:t>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三、评价内容和方法</w:t>
      </w:r>
    </w:p>
    <w:p>
      <w:pPr>
        <w:widowControl/>
        <w:spacing w:line="440" w:lineRule="exact"/>
        <w:ind w:firstLine="538"/>
        <w:jc w:val="left"/>
        <w:rPr>
          <w:rFonts w:ascii="仿宋" w:hAnsi="仿宋" w:eastAsia="仿宋"/>
          <w:kern w:val="0"/>
          <w:sz w:val="28"/>
          <w:szCs w:val="28"/>
        </w:rPr>
      </w:pPr>
      <w:r>
        <w:rPr>
          <w:rFonts w:hint="eastAsia" w:ascii="仿宋" w:hAnsi="仿宋" w:eastAsia="仿宋"/>
          <w:kern w:val="0"/>
          <w:sz w:val="28"/>
          <w:szCs w:val="28"/>
        </w:rPr>
        <w:t>参加过程性评价课程的成绩由统考成绩和过程性评价成绩两部分组成，统考成绩占70%，过程性评价成绩占30%。过程性评价成绩有到课率、平时表现、完成作业情况、阶段测验和综合测验五部分组成，按100分计。过程性评价成绩当次有效。过程性评价主要是通过学校网络助学平台进行，具体方法如下：</w:t>
      </w:r>
    </w:p>
    <w:p>
      <w:pPr>
        <w:widowControl/>
        <w:jc w:val="left"/>
        <w:rPr>
          <w:rFonts w:ascii="仿宋" w:hAnsi="仿宋" w:eastAsia="仿宋"/>
          <w:b/>
          <w:bCs/>
          <w:kern w:val="0"/>
          <w:sz w:val="24"/>
        </w:rPr>
      </w:pPr>
      <w:r>
        <w:rPr>
          <w:rFonts w:ascii="仿宋" w:hAnsi="仿宋" w:eastAsia="仿宋"/>
        </w:rPr>
        <w:drawing>
          <wp:inline distT="0" distB="0" distL="0" distR="0">
            <wp:extent cx="5486400" cy="2495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86400" cy="2495550"/>
                    </a:xfrm>
                    <a:prstGeom prst="rect">
                      <a:avLst/>
                    </a:prstGeom>
                    <a:noFill/>
                    <a:ln>
                      <a:noFill/>
                    </a:ln>
                  </pic:spPr>
                </pic:pic>
              </a:graphicData>
            </a:graphic>
          </wp:inline>
        </w:drawing>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1. 到课率（10%）</w:t>
      </w:r>
    </w:p>
    <w:p>
      <w:pPr>
        <w:widowControl/>
        <w:spacing w:line="440" w:lineRule="exact"/>
        <w:ind w:firstLine="540"/>
        <w:jc w:val="left"/>
        <w:rPr>
          <w:rFonts w:ascii="仿宋" w:hAnsi="仿宋" w:eastAsia="仿宋"/>
          <w:kern w:val="0"/>
          <w:sz w:val="28"/>
          <w:szCs w:val="28"/>
        </w:rPr>
      </w:pPr>
      <w:r>
        <w:rPr>
          <w:rFonts w:hint="eastAsia" w:ascii="仿宋" w:hAnsi="仿宋" w:eastAsia="仿宋"/>
          <w:kern w:val="0"/>
          <w:sz w:val="28"/>
          <w:szCs w:val="28"/>
        </w:rPr>
        <w:t>到课率由学员学习课件时间的长短决定，由系统实时记录。一般情况下，听课时间一般设置为课件总时长的100%，要求需完成所有的听课时长。</w:t>
      </w:r>
    </w:p>
    <w:p>
      <w:pPr>
        <w:widowControl/>
        <w:spacing w:line="440" w:lineRule="exact"/>
        <w:ind w:firstLine="540"/>
        <w:jc w:val="left"/>
        <w:rPr>
          <w:rFonts w:ascii="仿宋" w:hAnsi="仿宋" w:eastAsia="仿宋"/>
          <w:kern w:val="0"/>
          <w:sz w:val="28"/>
          <w:szCs w:val="28"/>
        </w:rPr>
      </w:pPr>
      <w:r>
        <w:rPr>
          <w:rFonts w:hint="eastAsia" w:ascii="仿宋" w:hAnsi="仿宋" w:eastAsia="仿宋"/>
          <w:kern w:val="0"/>
          <w:sz w:val="28"/>
          <w:szCs w:val="28"/>
        </w:rPr>
        <w:t>计算方式：将组成课程的每个课件时长取到，比对学生每个课件的学习状态。到课率得分=学生实际学习时长÷课件总时长*100</w:t>
      </w:r>
    </w:p>
    <w:p>
      <w:pPr>
        <w:widowControl/>
        <w:spacing w:line="440" w:lineRule="exact"/>
        <w:ind w:firstLine="539"/>
        <w:jc w:val="left"/>
        <w:rPr>
          <w:rFonts w:ascii="仿宋" w:hAnsi="仿宋" w:eastAsia="仿宋"/>
          <w:b/>
          <w:bCs/>
          <w:kern w:val="0"/>
          <w:sz w:val="28"/>
          <w:szCs w:val="28"/>
        </w:rPr>
      </w:pPr>
      <w:r>
        <w:rPr>
          <w:rFonts w:hint="eastAsia" w:ascii="仿宋" w:hAnsi="仿宋" w:eastAsia="仿宋"/>
          <w:b/>
          <w:bCs/>
          <w:kern w:val="0"/>
          <w:sz w:val="28"/>
          <w:szCs w:val="28"/>
        </w:rPr>
        <w:t>2. 平时表现(20%)</w:t>
      </w:r>
    </w:p>
    <w:p>
      <w:pPr>
        <w:widowControl/>
        <w:spacing w:line="440" w:lineRule="exact"/>
        <w:ind w:firstLine="540"/>
        <w:jc w:val="left"/>
        <w:rPr>
          <w:rFonts w:ascii="仿宋" w:hAnsi="仿宋" w:eastAsia="仿宋"/>
          <w:kern w:val="0"/>
          <w:sz w:val="28"/>
          <w:szCs w:val="28"/>
        </w:rPr>
      </w:pPr>
      <w:r>
        <w:rPr>
          <w:rFonts w:hint="eastAsia" w:ascii="仿宋" w:hAnsi="仿宋" w:eastAsia="仿宋"/>
          <w:kern w:val="0"/>
          <w:sz w:val="28"/>
          <w:szCs w:val="28"/>
        </w:rPr>
        <w:t>由高职院校老师根据学生平时表现、学习态度等其他因素综合打分，满分为100分，打好分后录入平台系统。</w:t>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3.平时作业(25%)</w:t>
      </w:r>
    </w:p>
    <w:p>
      <w:pPr>
        <w:widowControl/>
        <w:spacing w:line="440" w:lineRule="exact"/>
        <w:ind w:firstLine="540"/>
        <w:jc w:val="left"/>
        <w:rPr>
          <w:rFonts w:ascii="仿宋" w:hAnsi="仿宋" w:eastAsia="仿宋"/>
          <w:kern w:val="0"/>
          <w:sz w:val="28"/>
          <w:szCs w:val="28"/>
        </w:rPr>
      </w:pPr>
      <w:r>
        <w:rPr>
          <w:rFonts w:hint="eastAsia" w:ascii="仿宋" w:hAnsi="仿宋" w:eastAsia="仿宋"/>
          <w:kern w:val="0"/>
          <w:sz w:val="28"/>
          <w:szCs w:val="28"/>
        </w:rPr>
        <w:t>① 平时作业占过程性评价成绩的25%。</w:t>
      </w:r>
    </w:p>
    <w:p>
      <w:pPr>
        <w:widowControl/>
        <w:spacing w:line="440" w:lineRule="exact"/>
        <w:ind w:firstLine="540"/>
        <w:jc w:val="left"/>
        <w:rPr>
          <w:rFonts w:ascii="仿宋" w:hAnsi="仿宋" w:eastAsia="仿宋"/>
          <w:kern w:val="0"/>
          <w:sz w:val="28"/>
          <w:szCs w:val="28"/>
        </w:rPr>
      </w:pPr>
      <w:r>
        <w:rPr>
          <w:rFonts w:hint="eastAsia" w:ascii="仿宋" w:hAnsi="仿宋" w:eastAsia="仿宋"/>
          <w:kern w:val="0"/>
          <w:sz w:val="28"/>
          <w:szCs w:val="28"/>
        </w:rPr>
        <w:t>② 每门课程设5个以上平时作业，平时作业有无数次测试机会。</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③ 平时作业由学习课件中的课后练习来组成，所有题目答对为满分。</w:t>
      </w:r>
    </w:p>
    <w:p>
      <w:pPr>
        <w:widowControl/>
        <w:spacing w:line="440" w:lineRule="exact"/>
        <w:jc w:val="left"/>
        <w:rPr>
          <w:rFonts w:ascii="仿宋" w:hAnsi="仿宋" w:eastAsia="仿宋"/>
          <w:kern w:val="0"/>
          <w:sz w:val="28"/>
          <w:szCs w:val="28"/>
        </w:rPr>
      </w:pPr>
      <w:r>
        <w:rPr>
          <w:rFonts w:hint="eastAsia" w:ascii="仿宋" w:hAnsi="仿宋" w:eastAsia="仿宋"/>
          <w:kern w:val="0"/>
          <w:sz w:val="28"/>
          <w:szCs w:val="28"/>
        </w:rPr>
        <w:t>计算方式：平时作业=平时作业答对题数÷总题数的百分比。</w:t>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4. 阶段测验(20%)</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① 阶段测验占过程性评价成绩的20%。</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② 阶段测验的题目一般20--30题之间，且均为客观题。</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③ 每门课程设5阶段测验，每阶段测验最多可以做3次，取各阶段测验最</w:t>
      </w:r>
    </w:p>
    <w:p>
      <w:pPr>
        <w:widowControl/>
        <w:spacing w:line="440" w:lineRule="exact"/>
        <w:jc w:val="left"/>
        <w:rPr>
          <w:rFonts w:ascii="仿宋" w:hAnsi="仿宋" w:eastAsia="仿宋"/>
          <w:kern w:val="0"/>
          <w:sz w:val="28"/>
          <w:szCs w:val="28"/>
        </w:rPr>
      </w:pPr>
      <w:r>
        <w:rPr>
          <w:rFonts w:hint="eastAsia" w:ascii="仿宋" w:hAnsi="仿宋" w:eastAsia="仿宋"/>
          <w:kern w:val="0"/>
          <w:sz w:val="28"/>
          <w:szCs w:val="28"/>
        </w:rPr>
        <w:t>高分的平均成绩作为阶段测验成绩，阶段测验的题目均由系统题库中随机抽取完成。</w:t>
      </w:r>
    </w:p>
    <w:p>
      <w:pPr>
        <w:widowControl/>
        <w:spacing w:line="440" w:lineRule="exact"/>
        <w:ind w:left="420" w:firstLine="120"/>
        <w:jc w:val="left"/>
        <w:rPr>
          <w:rFonts w:ascii="仿宋" w:hAnsi="仿宋" w:eastAsia="仿宋"/>
          <w:kern w:val="0"/>
          <w:sz w:val="28"/>
          <w:szCs w:val="28"/>
        </w:rPr>
      </w:pPr>
      <w:r>
        <w:rPr>
          <w:rFonts w:hint="eastAsia" w:ascii="仿宋" w:hAnsi="仿宋" w:eastAsia="仿宋"/>
          <w:kern w:val="0"/>
          <w:sz w:val="28"/>
          <w:szCs w:val="28"/>
        </w:rPr>
        <w:t>计算方式：取所有阶段测验平均分作为阶段测验得分，则加权平均为：（90+95+97+100+99）÷5=96分（四舍五入）。</w:t>
      </w:r>
    </w:p>
    <w:p>
      <w:pPr>
        <w:widowControl/>
        <w:spacing w:line="440" w:lineRule="exact"/>
        <w:ind w:firstLine="538"/>
        <w:jc w:val="left"/>
        <w:rPr>
          <w:rFonts w:ascii="仿宋" w:hAnsi="仿宋" w:eastAsia="仿宋"/>
          <w:b/>
          <w:bCs/>
          <w:kern w:val="0"/>
          <w:sz w:val="28"/>
          <w:szCs w:val="28"/>
        </w:rPr>
      </w:pPr>
      <w:r>
        <w:rPr>
          <w:rFonts w:hint="eastAsia" w:ascii="仿宋" w:hAnsi="仿宋" w:eastAsia="仿宋"/>
          <w:b/>
          <w:bCs/>
          <w:kern w:val="0"/>
          <w:sz w:val="28"/>
          <w:szCs w:val="28"/>
        </w:rPr>
        <w:t>5. 综合测验(25%)</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 xml:space="preserve">① 综合测验占过程性评价成绩的25%。 </w:t>
      </w:r>
    </w:p>
    <w:p>
      <w:pPr>
        <w:widowControl/>
        <w:spacing w:line="440" w:lineRule="exact"/>
        <w:ind w:firstLine="600"/>
        <w:jc w:val="left"/>
        <w:rPr>
          <w:rFonts w:ascii="仿宋" w:hAnsi="仿宋" w:eastAsia="仿宋"/>
          <w:kern w:val="0"/>
          <w:sz w:val="28"/>
          <w:szCs w:val="28"/>
        </w:rPr>
      </w:pPr>
      <w:r>
        <w:rPr>
          <w:rFonts w:hint="eastAsia" w:ascii="仿宋" w:hAnsi="仿宋" w:eastAsia="仿宋"/>
          <w:kern w:val="0"/>
          <w:sz w:val="28"/>
          <w:szCs w:val="28"/>
        </w:rPr>
        <w:t>② 综合测验的题目一般在50--60题之间，且均为客观题。</w:t>
      </w:r>
    </w:p>
    <w:p>
      <w:pPr>
        <w:widowControl/>
        <w:spacing w:line="440" w:lineRule="exact"/>
        <w:jc w:val="left"/>
        <w:rPr>
          <w:rFonts w:ascii="仿宋" w:hAnsi="仿宋" w:eastAsia="仿宋"/>
          <w:kern w:val="0"/>
          <w:sz w:val="28"/>
          <w:szCs w:val="28"/>
        </w:rPr>
      </w:pPr>
      <w:r>
        <w:rPr>
          <w:rFonts w:hint="eastAsia" w:ascii="仿宋" w:hAnsi="仿宋" w:eastAsia="仿宋"/>
          <w:kern w:val="0"/>
          <w:sz w:val="28"/>
          <w:szCs w:val="28"/>
        </w:rPr>
        <w:t xml:space="preserve">③ 综合测验只有3次机会，取3次测验最高分作为综合测验成绩，综合测验的题目均由系统题库中随机抽取完成。 </w:t>
      </w:r>
    </w:p>
    <w:p>
      <w:pPr>
        <w:widowControl/>
        <w:spacing w:line="440" w:lineRule="exact"/>
        <w:ind w:firstLine="588"/>
        <w:jc w:val="left"/>
        <w:rPr>
          <w:rFonts w:ascii="仿宋" w:hAnsi="仿宋" w:eastAsia="仿宋"/>
          <w:kern w:val="0"/>
          <w:sz w:val="28"/>
          <w:szCs w:val="28"/>
        </w:rPr>
      </w:pPr>
      <w:r>
        <w:rPr>
          <w:rFonts w:hint="eastAsia" w:ascii="仿宋" w:hAnsi="仿宋" w:eastAsia="仿宋"/>
          <w:b/>
          <w:bCs/>
          <w:kern w:val="0"/>
          <w:sz w:val="28"/>
          <w:szCs w:val="28"/>
        </w:rPr>
        <w:t>过程性评价最终成绩 = 到课率得分*10%+平时表现得分*20%+平时作业得分*25%+阶段测验得分*20%+综合测验得分*25%。</w:t>
      </w:r>
    </w:p>
    <w:p>
      <w:pPr>
        <w:widowControl/>
        <w:spacing w:line="440" w:lineRule="exact"/>
        <w:ind w:firstLine="600"/>
        <w:jc w:val="left"/>
        <w:rPr>
          <w:rFonts w:ascii="仿宋" w:hAnsi="仿宋" w:eastAsia="仿宋"/>
          <w:kern w:val="0"/>
          <w:sz w:val="24"/>
        </w:rPr>
      </w:pPr>
    </w:p>
    <w:p>
      <w:pPr>
        <w:widowControl/>
        <w:spacing w:afterLines="50" w:line="440" w:lineRule="exact"/>
        <w:jc w:val="left"/>
        <w:rPr>
          <w:rFonts w:ascii="仿宋" w:hAnsi="仿宋" w:eastAsia="仿宋"/>
          <w:kern w:val="0"/>
          <w:sz w:val="28"/>
          <w:szCs w:val="28"/>
        </w:rPr>
      </w:pPr>
      <w:r>
        <w:rPr>
          <w:rFonts w:hint="eastAsia" w:ascii="仿宋" w:hAnsi="仿宋" w:eastAsia="仿宋"/>
          <w:kern w:val="0"/>
          <w:sz w:val="28"/>
          <w:szCs w:val="28"/>
        </w:rPr>
        <w:t>计算方法实例：</w:t>
      </w:r>
    </w:p>
    <w:tbl>
      <w:tblPr>
        <w:tblStyle w:val="14"/>
        <w:tblW w:w="8522" w:type="dxa"/>
        <w:tblInd w:w="0" w:type="dxa"/>
        <w:tblLayout w:type="fixed"/>
        <w:tblCellMar>
          <w:top w:w="0" w:type="dxa"/>
          <w:left w:w="108" w:type="dxa"/>
          <w:bottom w:w="0" w:type="dxa"/>
          <w:right w:w="108" w:type="dxa"/>
        </w:tblCellMar>
      </w:tblPr>
      <w:tblGrid>
        <w:gridCol w:w="2660"/>
        <w:gridCol w:w="2410"/>
        <w:gridCol w:w="3452"/>
      </w:tblGrid>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r>
              <w:rPr>
                <w:rFonts w:hint="eastAsia" w:ascii="仿宋" w:hAnsi="仿宋" w:eastAsia="仿宋"/>
                <w:b/>
                <w:bCs/>
                <w:kern w:val="0"/>
                <w:sz w:val="24"/>
              </w:rPr>
              <w:t>考核比例</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r>
              <w:rPr>
                <w:rFonts w:hint="eastAsia" w:ascii="仿宋" w:hAnsi="仿宋" w:eastAsia="仿宋"/>
                <w:b/>
                <w:bCs/>
                <w:kern w:val="0"/>
                <w:sz w:val="24"/>
              </w:rPr>
              <w:t>百分制得分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r>
              <w:rPr>
                <w:rFonts w:hint="eastAsia" w:ascii="仿宋" w:hAnsi="仿宋" w:eastAsia="仿宋"/>
                <w:b/>
                <w:bCs/>
                <w:kern w:val="0"/>
                <w:sz w:val="24"/>
              </w:rPr>
              <w:t>比例得分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到课率（10%）</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98分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9.8分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平时表现(20%)</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95分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19分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平时作业(25%)</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99分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24.8分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阶段测验(20%)</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96分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19.2分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综合测验(25%)</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98分</w:t>
            </w: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24.5分</w:t>
            </w:r>
          </w:p>
        </w:tc>
      </w:tr>
      <w:tr>
        <w:tblPrEx>
          <w:tblLayout w:type="fixed"/>
          <w:tblCellMar>
            <w:top w:w="0" w:type="dxa"/>
            <w:left w:w="108" w:type="dxa"/>
            <w:bottom w:w="0" w:type="dxa"/>
            <w:right w:w="108" w:type="dxa"/>
          </w:tblCellMar>
        </w:tblPrEx>
        <w:trPr>
          <w:trHeight w:val="515" w:hRule="atLeast"/>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r>
              <w:rPr>
                <w:rFonts w:hint="eastAsia" w:ascii="仿宋" w:hAnsi="仿宋" w:eastAsia="仿宋"/>
                <w:b/>
                <w:bCs/>
                <w:kern w:val="0"/>
                <w:sz w:val="24"/>
              </w:rPr>
              <w:t>考核结果</w:t>
            </w:r>
          </w:p>
        </w:tc>
        <w:tc>
          <w:tcPr>
            <w:tcW w:w="2410"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p>
        </w:tc>
        <w:tc>
          <w:tcPr>
            <w:tcW w:w="3452"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 w:hAnsi="仿宋" w:eastAsia="仿宋"/>
                <w:b/>
                <w:bCs/>
                <w:kern w:val="0"/>
                <w:sz w:val="24"/>
              </w:rPr>
            </w:pPr>
            <w:r>
              <w:rPr>
                <w:rFonts w:hint="eastAsia" w:ascii="仿宋" w:hAnsi="仿宋" w:eastAsia="仿宋"/>
                <w:b/>
                <w:bCs/>
                <w:kern w:val="0"/>
                <w:sz w:val="24"/>
              </w:rPr>
              <w:t>97分（四舍五入）</w:t>
            </w:r>
          </w:p>
        </w:tc>
      </w:tr>
    </w:tbl>
    <w:p>
      <w:pPr>
        <w:widowControl/>
        <w:spacing w:beforeLines="50" w:line="360" w:lineRule="auto"/>
        <w:ind w:firstLine="551" w:firstLineChars="196"/>
        <w:jc w:val="left"/>
        <w:rPr>
          <w:rFonts w:ascii="仿宋" w:hAnsi="仿宋" w:eastAsia="仿宋"/>
          <w:b/>
          <w:bCs/>
          <w:kern w:val="0"/>
          <w:sz w:val="28"/>
          <w:szCs w:val="28"/>
        </w:rPr>
      </w:pPr>
      <w:r>
        <w:rPr>
          <w:rFonts w:hint="eastAsia" w:ascii="仿宋" w:hAnsi="仿宋" w:eastAsia="仿宋"/>
          <w:b/>
          <w:bCs/>
          <w:kern w:val="0"/>
          <w:sz w:val="28"/>
          <w:szCs w:val="28"/>
        </w:rPr>
        <w:t>四、成绩上报</w:t>
      </w:r>
    </w:p>
    <w:p>
      <w:pPr>
        <w:widowControl/>
        <w:spacing w:line="48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每次统考前10天由校自考办根据自考网上助学平台自动生成的《过程性评价申请表》和数据信息用光盘报省教育考试院。</w:t>
      </w:r>
    </w:p>
    <w:p>
      <w:pPr>
        <w:widowControl/>
        <w:spacing w:line="480" w:lineRule="exact"/>
        <w:ind w:firstLine="551" w:firstLineChars="196"/>
        <w:jc w:val="left"/>
        <w:rPr>
          <w:rFonts w:ascii="仿宋" w:hAnsi="仿宋" w:eastAsia="仿宋"/>
          <w:b/>
          <w:bCs/>
          <w:kern w:val="0"/>
          <w:sz w:val="28"/>
          <w:szCs w:val="28"/>
        </w:rPr>
      </w:pPr>
      <w:r>
        <w:rPr>
          <w:rFonts w:hint="eastAsia" w:ascii="仿宋" w:hAnsi="仿宋" w:eastAsia="仿宋"/>
          <w:b/>
          <w:bCs/>
          <w:kern w:val="0"/>
          <w:sz w:val="28"/>
          <w:szCs w:val="28"/>
        </w:rPr>
        <w:t>五、监督和检查</w:t>
      </w:r>
    </w:p>
    <w:p>
      <w:pPr>
        <w:widowControl/>
        <w:spacing w:line="48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过程性评价工作要坚持质量标准，坚持公平、公正、公开的原则。过程性评价实施办法在学校网上助学平台上向考生公开，每门课程的过程性评价成绩在学校网上助学平台上公开，接受考生的监督。</w:t>
      </w:r>
    </w:p>
    <w:p>
      <w:pPr>
        <w:widowControl/>
        <w:spacing w:line="48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建立专本衔接学习档案，学习档案包括学生的基本情况、评价记录表及其他过程性评价所需的相关信息，并在学校网上助学平台上永久保留，自觉接受省教育考试院的检查。</w:t>
      </w:r>
    </w:p>
    <w:p>
      <w:pPr>
        <w:widowControl/>
        <w:spacing w:line="360" w:lineRule="auto"/>
        <w:ind w:left="353" w:firstLine="420"/>
        <w:jc w:val="left"/>
        <w:rPr>
          <w:rFonts w:ascii="仿宋" w:hAnsi="仿宋" w:eastAsia="仿宋"/>
          <w:kern w:val="0"/>
          <w:sz w:val="24"/>
        </w:rPr>
      </w:pPr>
    </w:p>
    <w:p>
      <w:pPr>
        <w:widowControl/>
        <w:spacing w:line="360" w:lineRule="auto"/>
        <w:ind w:left="353" w:firstLine="420"/>
        <w:jc w:val="left"/>
        <w:rPr>
          <w:rFonts w:ascii="仿宋" w:hAnsi="仿宋" w:eastAsia="仿宋"/>
          <w:kern w:val="0"/>
          <w:sz w:val="24"/>
        </w:rPr>
      </w:pPr>
    </w:p>
    <w:p>
      <w:pPr>
        <w:widowControl/>
        <w:spacing w:line="360" w:lineRule="auto"/>
        <w:ind w:left="353" w:firstLine="420"/>
        <w:jc w:val="left"/>
        <w:rPr>
          <w:rFonts w:ascii="仿宋" w:hAnsi="仿宋" w:eastAsia="仿宋"/>
          <w:kern w:val="0"/>
          <w:sz w:val="24"/>
        </w:rPr>
      </w:pPr>
    </w:p>
    <w:p>
      <w:pPr>
        <w:widowControl/>
        <w:spacing w:line="360" w:lineRule="auto"/>
        <w:ind w:left="353" w:firstLine="420"/>
        <w:jc w:val="left"/>
        <w:rPr>
          <w:rFonts w:ascii="仿宋" w:hAnsi="仿宋" w:eastAsia="仿宋"/>
          <w:kern w:val="0"/>
          <w:sz w:val="28"/>
          <w:szCs w:val="28"/>
        </w:rPr>
      </w:pPr>
      <w:r>
        <w:rPr>
          <w:rFonts w:hint="eastAsia" w:ascii="仿宋" w:hAnsi="仿宋" w:eastAsia="仿宋"/>
          <w:kern w:val="0"/>
          <w:sz w:val="24"/>
        </w:rPr>
        <w:t xml:space="preserve">                           </w:t>
      </w:r>
      <w:r>
        <w:rPr>
          <w:rFonts w:hint="eastAsia" w:ascii="仿宋" w:hAnsi="仿宋" w:eastAsia="仿宋"/>
          <w:kern w:val="0"/>
          <w:sz w:val="28"/>
          <w:szCs w:val="28"/>
        </w:rPr>
        <w:t>浙江工商大学继续教育学院</w:t>
      </w:r>
    </w:p>
    <w:p>
      <w:pPr>
        <w:widowControl/>
        <w:spacing w:line="360" w:lineRule="auto"/>
        <w:ind w:left="353" w:firstLine="420"/>
        <w:jc w:val="left"/>
        <w:rPr>
          <w:rFonts w:ascii="仿宋" w:hAnsi="仿宋" w:eastAsia="仿宋"/>
          <w:kern w:val="0"/>
          <w:sz w:val="28"/>
          <w:szCs w:val="28"/>
        </w:rPr>
      </w:pPr>
      <w:r>
        <w:rPr>
          <w:rFonts w:hint="eastAsia" w:ascii="仿宋" w:hAnsi="仿宋" w:eastAsia="仿宋"/>
          <w:kern w:val="0"/>
          <w:sz w:val="28"/>
          <w:szCs w:val="28"/>
        </w:rPr>
        <w:t xml:space="preserve">                         二○一四年九月十五日</w:t>
      </w:r>
    </w:p>
    <w:p>
      <w:pPr>
        <w:widowControl/>
        <w:spacing w:line="360" w:lineRule="auto"/>
        <w:jc w:val="left"/>
        <w:rPr>
          <w:rFonts w:ascii="仿宋" w:hAnsi="仿宋" w:eastAsia="仿宋"/>
          <w:kern w:val="0"/>
          <w:sz w:val="24"/>
        </w:rPr>
      </w:pPr>
    </w:p>
    <w:p>
      <w:pPr>
        <w:widowControl/>
        <w:spacing w:line="360" w:lineRule="auto"/>
        <w:jc w:val="left"/>
        <w:rPr>
          <w:rFonts w:ascii="仿宋" w:hAnsi="仿宋" w:eastAsia="仿宋"/>
          <w:kern w:val="0"/>
          <w:sz w:val="24"/>
        </w:rPr>
      </w:pPr>
    </w:p>
    <w:p>
      <w:pPr>
        <w:widowControl/>
        <w:spacing w:line="360" w:lineRule="auto"/>
        <w:jc w:val="left"/>
        <w:rPr>
          <w:rFonts w:ascii="仿宋" w:hAnsi="仿宋" w:eastAsia="仿宋"/>
          <w:kern w:val="0"/>
          <w:sz w:val="24"/>
        </w:rPr>
      </w:pPr>
      <w:r>
        <w:rPr>
          <w:rFonts w:hint="eastAsia" w:ascii="仿宋" w:hAnsi="仿宋" w:eastAsia="仿宋"/>
          <w:kern w:val="0"/>
          <w:sz w:val="24"/>
        </w:rPr>
        <w:t>附件1:浙江省自学考试过程性评价申报表</w:t>
      </w:r>
    </w:p>
    <w:p>
      <w:pPr>
        <w:widowControl/>
        <w:spacing w:line="360" w:lineRule="auto"/>
        <w:jc w:val="left"/>
        <w:rPr>
          <w:rFonts w:ascii="仿宋" w:hAnsi="仿宋" w:eastAsia="仿宋"/>
          <w:kern w:val="0"/>
          <w:sz w:val="24"/>
        </w:rPr>
      </w:pPr>
      <w:r>
        <w:rPr>
          <w:rFonts w:hint="eastAsia" w:ascii="仿宋" w:hAnsi="仿宋" w:eastAsia="仿宋"/>
          <w:kern w:val="0"/>
          <w:sz w:val="24"/>
        </w:rPr>
        <w:t>附件2：浙江省自学考试过程性学习评价记录表</w:t>
      </w:r>
    </w:p>
    <w:p>
      <w:pPr>
        <w:widowControl/>
        <w:jc w:val="left"/>
        <w:rPr>
          <w:rFonts w:ascii="宋体" w:hAnsi="宋体"/>
          <w:kern w:val="0"/>
          <w:sz w:val="24"/>
        </w:rPr>
      </w:pPr>
      <w:r>
        <w:rPr>
          <w:rFonts w:hint="eastAsia" w:ascii="宋体" w:hAnsi="宋体"/>
          <w:kern w:val="0"/>
          <w:sz w:val="28"/>
          <w:szCs w:val="28"/>
        </w:rPr>
        <w:t>附件 1：</w:t>
      </w:r>
    </w:p>
    <w:p>
      <w:pPr>
        <w:widowControl/>
        <w:spacing w:line="360" w:lineRule="auto"/>
        <w:ind w:firstLine="180"/>
        <w:jc w:val="center"/>
        <w:rPr>
          <w:rFonts w:ascii="宋体" w:hAnsi="宋体"/>
          <w:kern w:val="0"/>
          <w:sz w:val="36"/>
          <w:szCs w:val="36"/>
        </w:rPr>
      </w:pPr>
      <w:r>
        <w:rPr>
          <w:rFonts w:hint="eastAsia" w:ascii="宋体" w:hAnsi="宋体"/>
          <w:kern w:val="0"/>
          <w:sz w:val="36"/>
          <w:szCs w:val="36"/>
        </w:rPr>
        <w:t>浙江省自学考试过程性评价申报表</w:t>
      </w:r>
    </w:p>
    <w:p>
      <w:pPr>
        <w:widowControl/>
        <w:spacing w:line="360" w:lineRule="auto"/>
        <w:ind w:firstLine="150"/>
        <w:jc w:val="left"/>
        <w:rPr>
          <w:rFonts w:ascii="宋体" w:hAnsi="宋体"/>
          <w:kern w:val="0"/>
          <w:sz w:val="30"/>
          <w:szCs w:val="30"/>
        </w:rPr>
      </w:pPr>
      <w:r>
        <w:rPr>
          <w:rFonts w:hint="eastAsia" w:ascii="宋体" w:hAnsi="宋体"/>
          <w:kern w:val="0"/>
          <w:sz w:val="30"/>
          <w:szCs w:val="30"/>
        </w:rPr>
        <w:t>学校名称（盖章）：</w:t>
      </w:r>
    </w:p>
    <w:tbl>
      <w:tblPr>
        <w:tblStyle w:val="14"/>
        <w:tblW w:w="8522" w:type="dxa"/>
        <w:jc w:val="center"/>
        <w:tblInd w:w="0" w:type="dxa"/>
        <w:tblLayout w:type="fixed"/>
        <w:tblCellMar>
          <w:top w:w="0" w:type="dxa"/>
          <w:left w:w="108" w:type="dxa"/>
          <w:bottom w:w="0" w:type="dxa"/>
          <w:right w:w="108" w:type="dxa"/>
        </w:tblCellMar>
      </w:tblPr>
      <w:tblGrid>
        <w:gridCol w:w="1728"/>
        <w:gridCol w:w="2880"/>
        <w:gridCol w:w="1783"/>
        <w:gridCol w:w="2131"/>
      </w:tblGrid>
      <w:tr>
        <w:tblPrEx>
          <w:tblLayout w:type="fixed"/>
          <w:tblCellMar>
            <w:top w:w="0" w:type="dxa"/>
            <w:left w:w="108" w:type="dxa"/>
            <w:bottom w:w="0" w:type="dxa"/>
            <w:right w:w="108" w:type="dxa"/>
          </w:tblCellMar>
        </w:tblPrEx>
        <w:trPr>
          <w:trHeight w:val="82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jc w:val="center"/>
              <w:rPr>
                <w:rFonts w:ascii="宋体" w:hAnsi="宋体"/>
                <w:kern w:val="0"/>
                <w:sz w:val="24"/>
              </w:rPr>
            </w:pPr>
            <w:r>
              <w:rPr>
                <w:rFonts w:hint="eastAsia" w:ascii="宋体" w:hAnsi="宋体"/>
                <w:kern w:val="0"/>
                <w:sz w:val="24"/>
              </w:rPr>
              <w:t>课程代码</w:t>
            </w: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480"/>
              <w:jc w:val="center"/>
              <w:rPr>
                <w:rFonts w:ascii="宋体" w:hAnsi="宋体"/>
                <w:kern w:val="0"/>
                <w:sz w:val="24"/>
              </w:rPr>
            </w:pPr>
            <w:r>
              <w:rPr>
                <w:rFonts w:hint="eastAsia" w:ascii="宋体" w:hAnsi="宋体"/>
                <w:kern w:val="0"/>
                <w:sz w:val="24"/>
              </w:rPr>
              <w:t>课程名称</w:t>
            </w: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480"/>
              <w:jc w:val="center"/>
              <w:rPr>
                <w:rFonts w:ascii="宋体" w:hAnsi="宋体"/>
                <w:kern w:val="0"/>
                <w:sz w:val="24"/>
              </w:rPr>
            </w:pPr>
            <w:r>
              <w:rPr>
                <w:rFonts w:hint="eastAsia" w:ascii="宋体" w:hAnsi="宋体"/>
                <w:kern w:val="0"/>
                <w:sz w:val="24"/>
              </w:rPr>
              <w:t>考试课次数</w:t>
            </w: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480"/>
              <w:jc w:val="center"/>
              <w:rPr>
                <w:rFonts w:ascii="宋体" w:hAnsi="宋体"/>
                <w:kern w:val="0"/>
                <w:sz w:val="24"/>
              </w:rPr>
            </w:pPr>
            <w:r>
              <w:rPr>
                <w:rFonts w:hint="eastAsia" w:ascii="宋体" w:hAnsi="宋体"/>
                <w:kern w:val="0"/>
                <w:sz w:val="24"/>
              </w:rPr>
              <w:t>备注</w:t>
            </w:r>
          </w:p>
        </w:tc>
      </w:tr>
      <w:tr>
        <w:tblPrEx>
          <w:tblLayout w:type="fixed"/>
          <w:tblCellMar>
            <w:top w:w="0" w:type="dxa"/>
            <w:left w:w="108" w:type="dxa"/>
            <w:bottom w:w="0" w:type="dxa"/>
            <w:right w:w="108" w:type="dxa"/>
          </w:tblCellMar>
        </w:tblPrEx>
        <w:trPr>
          <w:trHeight w:val="559"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59"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59"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59"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544"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480"/>
              <w:jc w:val="left"/>
              <w:rPr>
                <w:rFonts w:ascii="宋体" w:hAnsi="宋体"/>
                <w:kern w:val="0"/>
                <w:sz w:val="24"/>
              </w:rPr>
            </w:pPr>
            <w:r>
              <w:rPr>
                <w:rFonts w:hint="eastAsia" w:ascii="宋体" w:hAnsi="宋体"/>
                <w:kern w:val="0"/>
                <w:sz w:val="24"/>
              </w:rPr>
              <w:t>合计</w:t>
            </w:r>
          </w:p>
        </w:tc>
        <w:tc>
          <w:tcPr>
            <w:tcW w:w="2880"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1783"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c>
          <w:tcPr>
            <w:tcW w:w="2131" w:type="dxa"/>
            <w:tcBorders>
              <w:top w:val="single" w:color="000000" w:sz="4" w:space="0"/>
              <w:left w:val="nil"/>
              <w:bottom w:val="single" w:color="000000" w:sz="4" w:space="0"/>
              <w:right w:val="single" w:color="000000" w:sz="4" w:space="0"/>
            </w:tcBorders>
            <w:vAlign w:val="center"/>
          </w:tcPr>
          <w:p>
            <w:pPr>
              <w:widowControl/>
              <w:spacing w:line="360" w:lineRule="auto"/>
              <w:ind w:firstLine="600"/>
              <w:jc w:val="left"/>
              <w:rPr>
                <w:rFonts w:ascii="宋体" w:hAnsi="宋体"/>
                <w:kern w:val="0"/>
                <w:sz w:val="30"/>
                <w:szCs w:val="30"/>
              </w:rPr>
            </w:pPr>
          </w:p>
        </w:tc>
      </w:tr>
      <w:tr>
        <w:tblPrEx>
          <w:tblLayout w:type="fixed"/>
          <w:tblCellMar>
            <w:top w:w="0" w:type="dxa"/>
            <w:left w:w="108" w:type="dxa"/>
            <w:bottom w:w="0" w:type="dxa"/>
            <w:right w:w="108" w:type="dxa"/>
          </w:tblCellMar>
        </w:tblPrEx>
        <w:trPr>
          <w:trHeight w:val="1218" w:hRule="atLeas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rPr>
                <w:rFonts w:ascii="宋体" w:hAnsi="宋体"/>
                <w:kern w:val="0"/>
                <w:sz w:val="24"/>
              </w:rPr>
            </w:pPr>
            <w:r>
              <w:rPr>
                <w:rFonts w:hint="eastAsia" w:ascii="宋体" w:hAnsi="宋体"/>
                <w:kern w:val="0"/>
                <w:sz w:val="24"/>
              </w:rPr>
              <w:t>省考试院意见</w:t>
            </w:r>
          </w:p>
        </w:tc>
        <w:tc>
          <w:tcPr>
            <w:tcW w:w="6794" w:type="dxa"/>
            <w:gridSpan w:val="3"/>
            <w:tcBorders>
              <w:top w:val="single" w:color="000000" w:sz="4" w:space="0"/>
              <w:left w:val="nil"/>
              <w:bottom w:val="single" w:color="000000" w:sz="4" w:space="0"/>
              <w:right w:val="single" w:color="000000" w:sz="4" w:space="0"/>
            </w:tcBorders>
            <w:vAlign w:val="bottom"/>
          </w:tcPr>
          <w:p>
            <w:pPr>
              <w:widowControl/>
              <w:spacing w:line="360" w:lineRule="auto"/>
              <w:ind w:firstLine="4200"/>
              <w:jc w:val="left"/>
              <w:rPr>
                <w:rFonts w:ascii="宋体" w:hAnsi="宋体"/>
                <w:kern w:val="0"/>
                <w:sz w:val="30"/>
                <w:szCs w:val="30"/>
              </w:rPr>
            </w:pPr>
            <w:r>
              <w:rPr>
                <w:rFonts w:hint="eastAsia" w:ascii="宋体" w:hAnsi="宋体"/>
                <w:kern w:val="0"/>
                <w:sz w:val="30"/>
                <w:szCs w:val="30"/>
              </w:rPr>
              <w:t>签名：</w:t>
            </w:r>
          </w:p>
        </w:tc>
      </w:tr>
    </w:tbl>
    <w:p>
      <w:pPr>
        <w:widowControl/>
        <w:spacing w:line="360" w:lineRule="auto"/>
        <w:jc w:val="left"/>
        <w:rPr>
          <w:rFonts w:ascii="宋体" w:hAnsi="宋体"/>
          <w:kern w:val="0"/>
          <w:sz w:val="28"/>
          <w:szCs w:val="28"/>
        </w:rPr>
      </w:pPr>
      <w:r>
        <w:rPr>
          <w:rFonts w:hint="eastAsia" w:ascii="宋体" w:hAnsi="宋体"/>
          <w:kern w:val="0"/>
          <w:sz w:val="28"/>
          <w:szCs w:val="28"/>
        </w:rPr>
        <w:t>学校经办人：</w:t>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联系电话：</w:t>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 xml:space="preserve">年 </w:t>
      </w:r>
      <w:r>
        <w:rPr>
          <w:rFonts w:hint="eastAsia" w:ascii="宋体" w:hAnsi="宋体"/>
          <w:kern w:val="0"/>
          <w:sz w:val="28"/>
          <w:szCs w:val="28"/>
        </w:rPr>
        <w:tab/>
      </w:r>
      <w:r>
        <w:rPr>
          <w:rFonts w:hint="eastAsia" w:ascii="宋体" w:hAnsi="宋体"/>
          <w:kern w:val="0"/>
          <w:sz w:val="28"/>
          <w:szCs w:val="28"/>
        </w:rPr>
        <w:t>月</w:t>
      </w:r>
      <w:r>
        <w:rPr>
          <w:rFonts w:hint="eastAsia" w:ascii="宋体" w:hAnsi="宋体"/>
          <w:kern w:val="0"/>
          <w:sz w:val="28"/>
          <w:szCs w:val="28"/>
        </w:rPr>
        <w:tab/>
      </w:r>
      <w:r>
        <w:rPr>
          <w:rFonts w:hint="eastAsia" w:ascii="宋体" w:hAnsi="宋体"/>
          <w:kern w:val="0"/>
          <w:sz w:val="28"/>
          <w:szCs w:val="28"/>
        </w:rPr>
        <w:tab/>
      </w:r>
      <w:r>
        <w:rPr>
          <w:rFonts w:hint="eastAsia" w:ascii="宋体" w:hAnsi="宋体"/>
          <w:kern w:val="0"/>
          <w:sz w:val="28"/>
          <w:szCs w:val="28"/>
        </w:rPr>
        <w:t>日</w:t>
      </w:r>
    </w:p>
    <w:p>
      <w:pPr>
        <w:widowControl/>
        <w:jc w:val="left"/>
        <w:rPr>
          <w:rFonts w:ascii="宋体" w:hAnsi="宋体"/>
          <w:kern w:val="0"/>
          <w:sz w:val="24"/>
        </w:rPr>
      </w:pPr>
      <w:r>
        <w:rPr>
          <w:kern w:val="0"/>
          <w:szCs w:val="21"/>
        </w:rPr>
        <w:drawing>
          <wp:inline distT="0" distB="0" distL="0" distR="0">
            <wp:extent cx="5715000" cy="8820150"/>
            <wp:effectExtent l="19050" t="0" r="0" b="0"/>
            <wp:docPr id="2" name="Picture 2" descr="C:\Users\hgfvc\Documents\Tencent Files\1132933365\Local Settings\Temp\ksohtml\wpsB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gfvc\Documents\Tencent Files\1132933365\Local Settings\Temp\ksohtml\wpsB4.tmp.png"/>
                    <pic:cNvPicPr>
                      <a:picLocks noChangeAspect="1" noChangeArrowheads="1"/>
                    </pic:cNvPicPr>
                  </pic:nvPicPr>
                  <pic:blipFill>
                    <a:blip r:embed="rId12" cstate="print"/>
                    <a:srcRect/>
                    <a:stretch>
                      <a:fillRect/>
                    </a:stretch>
                  </pic:blipFill>
                  <pic:spPr>
                    <a:xfrm>
                      <a:off x="0" y="0"/>
                      <a:ext cx="5715000" cy="8820150"/>
                    </a:xfrm>
                    <a:prstGeom prst="rect">
                      <a:avLst/>
                    </a:prstGeom>
                    <a:noFill/>
                    <a:ln w="9525">
                      <a:noFill/>
                      <a:miter lim="800000"/>
                      <a:headEnd/>
                      <a:tailEnd/>
                    </a:ln>
                  </pic:spPr>
                </pic:pic>
              </a:graphicData>
            </a:graphic>
          </wp:inline>
        </w:drawing>
      </w:r>
    </w:p>
    <w:p>
      <w:pPr>
        <w:spacing w:line="360" w:lineRule="auto"/>
        <w:jc w:val="left"/>
        <w:rPr>
          <w:sz w:val="28"/>
          <w:szCs w:val="28"/>
        </w:rPr>
      </w:pPr>
      <w:r>
        <w:rPr>
          <w:rFonts w:hint="eastAsia"/>
          <w:sz w:val="28"/>
          <w:szCs w:val="28"/>
        </w:rPr>
        <w:t>附件</w:t>
      </w:r>
      <w:r>
        <w:rPr>
          <w:sz w:val="28"/>
          <w:szCs w:val="28"/>
        </w:rPr>
        <w:t>四</w:t>
      </w:r>
    </w:p>
    <w:p>
      <w:pPr>
        <w:spacing w:beforeLines="100" w:afterLines="100"/>
        <w:jc w:val="center"/>
        <w:rPr>
          <w:rFonts w:ascii="宋体" w:hAnsi="宋体"/>
          <w:b/>
          <w:sz w:val="32"/>
          <w:szCs w:val="32"/>
        </w:rPr>
      </w:pPr>
      <w:r>
        <w:rPr>
          <w:rFonts w:hint="eastAsia" w:ascii="宋体" w:hAnsi="宋体"/>
          <w:b/>
          <w:sz w:val="32"/>
          <w:szCs w:val="32"/>
        </w:rPr>
        <w:t>退学申请表</w:t>
      </w:r>
    </w:p>
    <w:tbl>
      <w:tblPr>
        <w:tblStyle w:val="1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9"/>
        <w:gridCol w:w="1560"/>
        <w:gridCol w:w="850"/>
        <w:gridCol w:w="1418"/>
        <w:gridCol w:w="850"/>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669" w:type="dxa"/>
            <w:vAlign w:val="center"/>
          </w:tcPr>
          <w:p>
            <w:pPr>
              <w:jc w:val="center"/>
              <w:rPr>
                <w:rFonts w:ascii="宋体" w:hAnsi="宋体"/>
                <w:sz w:val="24"/>
                <w:szCs w:val="24"/>
              </w:rPr>
            </w:pPr>
            <w:r>
              <w:rPr>
                <w:rFonts w:hint="eastAsia" w:ascii="宋体" w:hAnsi="宋体"/>
                <w:sz w:val="24"/>
                <w:szCs w:val="24"/>
              </w:rPr>
              <w:t>姓名</w:t>
            </w:r>
          </w:p>
        </w:tc>
        <w:tc>
          <w:tcPr>
            <w:tcW w:w="1560" w:type="dxa"/>
            <w:vAlign w:val="center"/>
          </w:tcPr>
          <w:p>
            <w:pPr>
              <w:jc w:val="center"/>
              <w:rPr>
                <w:rFonts w:ascii="宋体" w:hAnsi="宋体"/>
                <w:sz w:val="24"/>
                <w:szCs w:val="24"/>
              </w:rPr>
            </w:pPr>
          </w:p>
        </w:tc>
        <w:tc>
          <w:tcPr>
            <w:tcW w:w="850" w:type="dxa"/>
            <w:vAlign w:val="center"/>
          </w:tcPr>
          <w:p>
            <w:pPr>
              <w:jc w:val="center"/>
              <w:rPr>
                <w:rFonts w:ascii="宋体" w:hAnsi="宋体"/>
                <w:sz w:val="24"/>
                <w:szCs w:val="24"/>
              </w:rPr>
            </w:pPr>
            <w:r>
              <w:rPr>
                <w:rFonts w:hint="eastAsia" w:ascii="宋体" w:hAnsi="宋体"/>
                <w:sz w:val="24"/>
                <w:szCs w:val="24"/>
              </w:rPr>
              <w:t>性别</w:t>
            </w:r>
          </w:p>
        </w:tc>
        <w:tc>
          <w:tcPr>
            <w:tcW w:w="1418" w:type="dxa"/>
            <w:vAlign w:val="center"/>
          </w:tcPr>
          <w:p>
            <w:pPr>
              <w:jc w:val="center"/>
              <w:rPr>
                <w:rFonts w:ascii="宋体" w:hAnsi="宋体"/>
                <w:sz w:val="24"/>
                <w:szCs w:val="24"/>
              </w:rPr>
            </w:pPr>
          </w:p>
        </w:tc>
        <w:tc>
          <w:tcPr>
            <w:tcW w:w="850" w:type="dxa"/>
            <w:vAlign w:val="center"/>
          </w:tcPr>
          <w:p>
            <w:pPr>
              <w:jc w:val="center"/>
              <w:rPr>
                <w:rFonts w:ascii="宋体" w:hAnsi="宋体"/>
                <w:sz w:val="24"/>
                <w:szCs w:val="24"/>
              </w:rPr>
            </w:pPr>
            <w:r>
              <w:rPr>
                <w:rFonts w:hint="eastAsia" w:ascii="宋体" w:hAnsi="宋体"/>
                <w:sz w:val="24"/>
                <w:szCs w:val="24"/>
              </w:rPr>
              <w:t>班级</w:t>
            </w:r>
          </w:p>
        </w:tc>
        <w:tc>
          <w:tcPr>
            <w:tcW w:w="2175"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669" w:type="dxa"/>
            <w:vAlign w:val="center"/>
          </w:tcPr>
          <w:p>
            <w:pPr>
              <w:jc w:val="center"/>
              <w:rPr>
                <w:rFonts w:ascii="宋体" w:hAnsi="宋体"/>
                <w:sz w:val="24"/>
                <w:szCs w:val="24"/>
              </w:rPr>
            </w:pPr>
            <w:r>
              <w:rPr>
                <w:rFonts w:hint="eastAsia" w:ascii="宋体" w:hAnsi="宋体"/>
                <w:sz w:val="24"/>
                <w:szCs w:val="24"/>
              </w:rPr>
              <w:t>专业</w:t>
            </w:r>
          </w:p>
        </w:tc>
        <w:tc>
          <w:tcPr>
            <w:tcW w:w="2410" w:type="dxa"/>
            <w:gridSpan w:val="2"/>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联系方式</w:t>
            </w:r>
          </w:p>
        </w:tc>
        <w:tc>
          <w:tcPr>
            <w:tcW w:w="3025" w:type="dxa"/>
            <w:gridSpan w:val="2"/>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669" w:type="dxa"/>
            <w:tcBorders>
              <w:right w:val="single" w:color="auto" w:sz="4" w:space="0"/>
            </w:tcBorders>
            <w:vAlign w:val="center"/>
          </w:tcPr>
          <w:p>
            <w:pPr>
              <w:jc w:val="center"/>
              <w:rPr>
                <w:rFonts w:ascii="宋体" w:hAnsi="宋体"/>
                <w:sz w:val="24"/>
                <w:szCs w:val="24"/>
              </w:rPr>
            </w:pPr>
            <w:r>
              <w:rPr>
                <w:rFonts w:hint="eastAsia" w:ascii="宋体" w:hAnsi="宋体"/>
                <w:sz w:val="24"/>
                <w:szCs w:val="24"/>
              </w:rPr>
              <w:t>所在院校</w:t>
            </w:r>
          </w:p>
        </w:tc>
        <w:tc>
          <w:tcPr>
            <w:tcW w:w="6853" w:type="dxa"/>
            <w:gridSpan w:val="5"/>
            <w:tcBorders>
              <w:left w:val="single" w:color="auto" w:sz="4" w:space="0"/>
            </w:tcBorders>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2" w:hRule="atLeast"/>
        </w:trPr>
        <w:tc>
          <w:tcPr>
            <w:tcW w:w="1669" w:type="dxa"/>
            <w:tcBorders>
              <w:right w:val="single" w:color="auto" w:sz="4" w:space="0"/>
            </w:tcBorders>
            <w:vAlign w:val="center"/>
          </w:tcPr>
          <w:p>
            <w:pPr>
              <w:ind w:firstLine="235" w:firstLineChars="98"/>
              <w:rPr>
                <w:rFonts w:ascii="宋体" w:hAnsi="宋体"/>
                <w:sz w:val="24"/>
                <w:szCs w:val="24"/>
              </w:rPr>
            </w:pPr>
            <w:r>
              <w:rPr>
                <w:rFonts w:hint="eastAsia" w:ascii="宋体" w:hAnsi="宋体"/>
                <w:sz w:val="24"/>
                <w:szCs w:val="24"/>
              </w:rPr>
              <w:t>退学原因</w:t>
            </w:r>
          </w:p>
        </w:tc>
        <w:tc>
          <w:tcPr>
            <w:tcW w:w="6853" w:type="dxa"/>
            <w:gridSpan w:val="5"/>
            <w:tcBorders>
              <w:left w:val="single" w:color="auto" w:sz="4" w:space="0"/>
            </w:tcBorders>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rPr>
                <w:rFonts w:ascii="宋体" w:hAnsi="宋体"/>
                <w:sz w:val="24"/>
                <w:szCs w:val="24"/>
              </w:rPr>
            </w:pPr>
          </w:p>
          <w:p>
            <w:pPr>
              <w:jc w:val="center"/>
              <w:rPr>
                <w:rFonts w:ascii="宋体" w:hAnsi="宋体"/>
                <w:sz w:val="24"/>
                <w:szCs w:val="24"/>
              </w:rPr>
            </w:pPr>
            <w:r>
              <w:rPr>
                <w:rFonts w:hint="eastAsia" w:ascii="宋体" w:hAnsi="宋体"/>
                <w:sz w:val="24"/>
                <w:szCs w:val="24"/>
              </w:rPr>
              <w:t xml:space="preserve">             申请人家长签字：</w:t>
            </w:r>
          </w:p>
          <w:p>
            <w:pPr>
              <w:jc w:val="center"/>
              <w:rPr>
                <w:rFonts w:ascii="宋体" w:hAnsi="宋体"/>
                <w:sz w:val="24"/>
                <w:szCs w:val="24"/>
              </w:rPr>
            </w:pPr>
            <w:r>
              <w:rPr>
                <w:rFonts w:hint="eastAsia" w:ascii="宋体" w:hAnsi="宋体"/>
                <w:sz w:val="24"/>
                <w:szCs w:val="24"/>
              </w:rPr>
              <w:t xml:space="preserve">                        申请时间：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4" w:hRule="atLeast"/>
        </w:trPr>
        <w:tc>
          <w:tcPr>
            <w:tcW w:w="1669" w:type="dxa"/>
            <w:tcBorders>
              <w:right w:val="single" w:color="auto" w:sz="4" w:space="0"/>
            </w:tcBorders>
            <w:vAlign w:val="center"/>
          </w:tcPr>
          <w:p>
            <w:pPr>
              <w:ind w:firstLine="235" w:firstLineChars="98"/>
              <w:rPr>
                <w:rFonts w:ascii="宋体" w:hAnsi="宋体"/>
                <w:sz w:val="24"/>
                <w:szCs w:val="24"/>
              </w:rPr>
            </w:pPr>
            <w:r>
              <w:rPr>
                <w:rFonts w:hint="eastAsia" w:ascii="宋体" w:hAnsi="宋体"/>
                <w:sz w:val="24"/>
                <w:szCs w:val="24"/>
              </w:rPr>
              <w:t>班主任意见</w:t>
            </w:r>
          </w:p>
        </w:tc>
        <w:tc>
          <w:tcPr>
            <w:tcW w:w="6853" w:type="dxa"/>
            <w:gridSpan w:val="5"/>
            <w:tcBorders>
              <w:left w:val="single" w:color="auto" w:sz="4" w:space="0"/>
            </w:tcBorders>
          </w:tcPr>
          <w:p>
            <w:pPr>
              <w:jc w:val="cente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sz w:val="24"/>
                <w:szCs w:val="24"/>
              </w:rPr>
            </w:pPr>
            <w:r>
              <w:rPr>
                <w:rFonts w:hint="eastAsia" w:ascii="宋体" w:hAnsi="宋体"/>
                <w:sz w:val="24"/>
                <w:szCs w:val="24"/>
              </w:rPr>
              <w:t xml:space="preserve">              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2" w:hRule="atLeast"/>
        </w:trPr>
        <w:tc>
          <w:tcPr>
            <w:tcW w:w="1669" w:type="dxa"/>
            <w:tcBorders>
              <w:right w:val="single" w:color="auto" w:sz="4" w:space="0"/>
            </w:tcBorders>
            <w:vAlign w:val="center"/>
          </w:tcPr>
          <w:p>
            <w:pPr>
              <w:jc w:val="center"/>
              <w:rPr>
                <w:rFonts w:ascii="宋体" w:hAnsi="宋体"/>
                <w:sz w:val="24"/>
                <w:szCs w:val="24"/>
              </w:rPr>
            </w:pPr>
            <w:r>
              <w:rPr>
                <w:rFonts w:hint="eastAsia" w:ascii="宋体" w:hAnsi="宋体"/>
                <w:sz w:val="24"/>
                <w:szCs w:val="24"/>
              </w:rPr>
              <w:t>所在院校</w:t>
            </w:r>
          </w:p>
          <w:p>
            <w:pPr>
              <w:jc w:val="center"/>
              <w:rPr>
                <w:rFonts w:ascii="宋体" w:hAnsi="宋体"/>
                <w:sz w:val="24"/>
                <w:szCs w:val="24"/>
              </w:rPr>
            </w:pPr>
            <w:r>
              <w:rPr>
                <w:rFonts w:hint="eastAsia" w:ascii="宋体" w:hAnsi="宋体"/>
                <w:sz w:val="24"/>
                <w:szCs w:val="24"/>
              </w:rPr>
              <w:t>意见</w:t>
            </w:r>
          </w:p>
        </w:tc>
        <w:tc>
          <w:tcPr>
            <w:tcW w:w="6853" w:type="dxa"/>
            <w:gridSpan w:val="5"/>
            <w:tcBorders>
              <w:left w:val="single" w:color="auto" w:sz="4" w:space="0"/>
            </w:tcBorders>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08" w:hRule="atLeast"/>
        </w:trPr>
        <w:tc>
          <w:tcPr>
            <w:tcW w:w="1669" w:type="dxa"/>
            <w:tcBorders>
              <w:right w:val="single" w:color="auto" w:sz="4" w:space="0"/>
            </w:tcBorders>
            <w:vAlign w:val="center"/>
          </w:tcPr>
          <w:p>
            <w:pPr>
              <w:ind w:firstLine="240" w:firstLineChars="100"/>
              <w:jc w:val="center"/>
              <w:rPr>
                <w:rFonts w:ascii="宋体" w:hAnsi="宋体"/>
                <w:sz w:val="24"/>
                <w:szCs w:val="24"/>
              </w:rPr>
            </w:pPr>
            <w:r>
              <w:rPr>
                <w:rFonts w:hint="eastAsia" w:ascii="宋体" w:hAnsi="宋体"/>
                <w:sz w:val="24"/>
                <w:szCs w:val="24"/>
              </w:rPr>
              <w:t>浙江工商大学继续教育学院意见</w:t>
            </w:r>
          </w:p>
        </w:tc>
        <w:tc>
          <w:tcPr>
            <w:tcW w:w="6853" w:type="dxa"/>
            <w:gridSpan w:val="5"/>
            <w:tcBorders>
              <w:left w:val="single" w:color="auto" w:sz="4" w:space="0"/>
            </w:tcBorders>
          </w:tcPr>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 xml:space="preserve">              盖章：</w:t>
            </w:r>
          </w:p>
        </w:tc>
      </w:tr>
    </w:tbl>
    <w:p>
      <w:pPr>
        <w:jc w:val="center"/>
        <w:rPr>
          <w:rFonts w:ascii="宋体" w:hAnsi="宋体"/>
          <w:b/>
          <w:sz w:val="24"/>
        </w:rPr>
      </w:pPr>
    </w:p>
    <w:p>
      <w:pPr>
        <w:spacing w:line="500" w:lineRule="exact"/>
        <w:ind w:right="482"/>
        <w:jc w:val="center"/>
        <w:rPr>
          <w:rFonts w:ascii="宋体" w:hAnsi="宋体"/>
          <w:b/>
          <w:sz w:val="24"/>
        </w:rPr>
      </w:pPr>
      <w:r>
        <w:rPr>
          <w:rFonts w:hint="eastAsia" w:ascii="宋体" w:hAnsi="宋体"/>
          <w:b/>
          <w:sz w:val="24"/>
        </w:rPr>
        <w:t xml:space="preserve">                                  浙江工商大学继续教育学院</w:t>
      </w:r>
    </w:p>
    <w:p>
      <w:pPr>
        <w:spacing w:line="500" w:lineRule="exact"/>
        <w:ind w:right="482" w:firstLine="5667" w:firstLineChars="2352"/>
        <w:rPr>
          <w:rFonts w:ascii="宋体" w:hAnsi="宋体"/>
          <w:b/>
          <w:sz w:val="24"/>
        </w:rPr>
      </w:pPr>
      <w:r>
        <w:rPr>
          <w:rFonts w:hint="eastAsia" w:ascii="宋体" w:hAnsi="宋体"/>
          <w:b/>
          <w:sz w:val="24"/>
        </w:rPr>
        <w:t>年   月   日</w:t>
      </w:r>
    </w:p>
    <w:p>
      <w:pPr>
        <w:spacing w:line="360" w:lineRule="auto"/>
        <w:jc w:val="left"/>
        <w:rPr>
          <w:sz w:val="28"/>
          <w:szCs w:val="28"/>
        </w:rPr>
      </w:pPr>
      <w:r>
        <w:rPr>
          <w:rFonts w:hint="eastAsia"/>
          <w:sz w:val="28"/>
          <w:szCs w:val="28"/>
        </w:rPr>
        <w:t>附件五：《</w:t>
      </w:r>
      <w:r>
        <w:rPr>
          <w:sz w:val="28"/>
          <w:szCs w:val="28"/>
        </w:rPr>
        <w:t>浙江省教育厅办公室关于进一步加强高等教育自学考试全日制助学管若干规定的通知</w:t>
      </w:r>
      <w:r>
        <w:rPr>
          <w:rFonts w:hint="eastAsia"/>
          <w:sz w:val="28"/>
          <w:szCs w:val="28"/>
        </w:rPr>
        <w:t>》摘要</w:t>
      </w:r>
    </w:p>
    <w:p>
      <w:pPr>
        <w:spacing w:line="460" w:lineRule="exact"/>
        <w:ind w:right="330"/>
        <w:jc w:val="left"/>
        <w:rPr>
          <w:rFonts w:ascii="宋体" w:hAnsi="宋体"/>
          <w:szCs w:val="21"/>
        </w:rPr>
      </w:pPr>
    </w:p>
    <w:p>
      <w:pPr>
        <w:pStyle w:val="4"/>
        <w:spacing w:line="580" w:lineRule="exact"/>
        <w:jc w:val="center"/>
        <w:rPr>
          <w:rFonts w:ascii="Times New Roman" w:eastAsia="方正小标宋简体" w:cs="Times New Roman"/>
          <w:b w:val="0"/>
        </w:rPr>
      </w:pPr>
      <w:r>
        <w:rPr>
          <w:rFonts w:ascii="Times New Roman" w:eastAsia="方正小标宋简体" w:cs="Times New Roman"/>
          <w:b w:val="0"/>
        </w:rPr>
        <w:t>浙江省教育厅办公室关于进一步加强</w:t>
      </w:r>
    </w:p>
    <w:p>
      <w:pPr>
        <w:pStyle w:val="4"/>
        <w:spacing w:line="580" w:lineRule="exact"/>
        <w:jc w:val="center"/>
        <w:rPr>
          <w:rFonts w:ascii="Times New Roman" w:eastAsia="方正小标宋简体" w:cs="Times New Roman"/>
          <w:b w:val="0"/>
        </w:rPr>
      </w:pPr>
      <w:r>
        <w:rPr>
          <w:rFonts w:ascii="Times New Roman" w:eastAsia="方正小标宋简体" w:cs="Times New Roman"/>
          <w:b w:val="0"/>
        </w:rPr>
        <w:t>高等教育自学考试全日制助学管理</w:t>
      </w:r>
    </w:p>
    <w:p>
      <w:pPr>
        <w:pStyle w:val="4"/>
        <w:spacing w:line="580" w:lineRule="exact"/>
        <w:jc w:val="center"/>
        <w:rPr>
          <w:rFonts w:ascii="Times New Roman" w:eastAsia="方正小标宋简体" w:cs="Times New Roman"/>
          <w:b w:val="0"/>
        </w:rPr>
      </w:pPr>
      <w:r>
        <w:rPr>
          <w:rFonts w:ascii="Times New Roman" w:eastAsia="方正小标宋简体" w:cs="Times New Roman"/>
          <w:b w:val="0"/>
        </w:rPr>
        <w:t>若干规定的通知</w:t>
      </w:r>
    </w:p>
    <w:p>
      <w:pPr>
        <w:ind w:firstLine="3360" w:firstLineChars="1200"/>
        <w:rPr>
          <w:sz w:val="28"/>
          <w:szCs w:val="28"/>
        </w:rPr>
      </w:pPr>
      <w:r>
        <w:rPr>
          <w:rFonts w:hint="eastAsia"/>
          <w:sz w:val="28"/>
          <w:szCs w:val="28"/>
        </w:rPr>
        <w:t>（摘要）</w:t>
      </w:r>
    </w:p>
    <w:p>
      <w:pPr>
        <w:ind w:firstLine="3780" w:firstLineChars="1800"/>
      </w:pPr>
    </w:p>
    <w:p>
      <w:pPr>
        <w:tabs>
          <w:tab w:val="left" w:pos="3780"/>
        </w:tabs>
        <w:autoSpaceDE w:val="0"/>
        <w:autoSpaceDN w:val="0"/>
        <w:adjustRightInd w:val="0"/>
        <w:snapToGrid w:val="0"/>
        <w:spacing w:line="580" w:lineRule="exact"/>
        <w:ind w:right="315" w:firstLine="640" w:firstLineChars="200"/>
        <w:rPr>
          <w:rFonts w:eastAsia="黑体"/>
          <w:bCs/>
          <w:sz w:val="32"/>
          <w:szCs w:val="32"/>
          <w:lang w:val="zh-CN"/>
        </w:rPr>
      </w:pPr>
      <w:r>
        <w:rPr>
          <w:rFonts w:hAnsi="黑体" w:eastAsia="黑体"/>
          <w:bCs/>
          <w:sz w:val="32"/>
          <w:szCs w:val="32"/>
          <w:lang w:val="zh-CN"/>
        </w:rPr>
        <w:t>三、严格招生管理，规范经费收支行为</w:t>
      </w:r>
    </w:p>
    <w:p>
      <w:pPr>
        <w:tabs>
          <w:tab w:val="left" w:pos="3780"/>
        </w:tabs>
        <w:autoSpaceDE w:val="0"/>
        <w:autoSpaceDN w:val="0"/>
        <w:adjustRightInd w:val="0"/>
        <w:snapToGrid w:val="0"/>
        <w:spacing w:line="580" w:lineRule="exact"/>
        <w:ind w:right="315" w:firstLine="640" w:firstLineChars="200"/>
        <w:rPr>
          <w:rFonts w:eastAsia="仿宋_GB2312"/>
          <w:sz w:val="32"/>
          <w:szCs w:val="32"/>
          <w:lang w:val="zh-CN"/>
        </w:rPr>
      </w:pPr>
      <w:r>
        <w:rPr>
          <w:rFonts w:eastAsia="仿宋_GB2312"/>
          <w:sz w:val="32"/>
          <w:szCs w:val="32"/>
          <w:lang w:val="zh-CN"/>
        </w:rPr>
        <w:t>必须严格执行国家收费政策，收费标准按照管理权限和规定程序报物价部门备案并向社会公开，严禁乱收费。财务管理须符合国家有关规定。学生按学年缴费后因各种原因退学的，</w:t>
      </w:r>
      <w:r>
        <w:rPr>
          <w:rFonts w:hint="eastAsia" w:eastAsia="仿宋_GB2312"/>
          <w:sz w:val="32"/>
          <w:szCs w:val="32"/>
          <w:lang w:val="zh-CN"/>
        </w:rPr>
        <w:t>全日制</w:t>
      </w:r>
      <w:r>
        <w:rPr>
          <w:rFonts w:eastAsia="仿宋_GB2312"/>
          <w:sz w:val="32"/>
          <w:szCs w:val="32"/>
        </w:rPr>
        <w:t>助学机构应及时办理退学退费手续。在报到注册后一个月内退学的，按学年所缴学费、住宿费的80%退费；一个月后退学的，按</w:t>
      </w:r>
      <w:r>
        <w:rPr>
          <w:rFonts w:hint="eastAsia" w:eastAsia="仿宋_GB2312"/>
          <w:sz w:val="32"/>
          <w:szCs w:val="32"/>
        </w:rPr>
        <w:t>学年</w:t>
      </w:r>
      <w:r>
        <w:rPr>
          <w:rFonts w:eastAsia="仿宋_GB2312"/>
          <w:sz w:val="32"/>
          <w:szCs w:val="32"/>
        </w:rPr>
        <w:t>所缴学费、住宿费的50%退费；第二学期报到注册一个月内退学的，按学年所缴学费、住宿费的30%退费,一个月以后的，可不予退费。</w:t>
      </w:r>
    </w:p>
    <w:p>
      <w:pPr>
        <w:ind w:firstLine="3780" w:firstLineChars="1800"/>
      </w:pPr>
    </w:p>
    <w:p>
      <w:pPr>
        <w:ind w:firstLine="3780" w:firstLineChars="1800"/>
      </w:pPr>
    </w:p>
    <w:p>
      <w:pPr>
        <w:ind w:firstLine="3780" w:firstLineChars="1800"/>
      </w:pPr>
    </w:p>
    <w:p>
      <w:pPr>
        <w:ind w:firstLine="3780" w:firstLineChars="1800"/>
      </w:pPr>
    </w:p>
    <w:p>
      <w:pPr>
        <w:ind w:firstLine="3780" w:firstLineChars="1800"/>
      </w:pPr>
    </w:p>
    <w:p/>
    <w:p>
      <w:pPr>
        <w:ind w:firstLine="3780" w:firstLineChars="1800"/>
      </w:pPr>
    </w:p>
    <w:p>
      <w:pPr>
        <w:spacing w:line="420" w:lineRule="exact"/>
        <w:rPr>
          <w:rFonts w:ascii="方正小标宋简体" w:eastAsia="方正小标宋简体"/>
          <w:sz w:val="32"/>
          <w:szCs w:val="32"/>
        </w:rPr>
      </w:pPr>
      <w:r>
        <w:rPr>
          <w:rFonts w:hint="eastAsia" w:ascii="黑体" w:eastAsia="黑体"/>
          <w:sz w:val="32"/>
          <w:szCs w:val="32"/>
        </w:rPr>
        <w:t>主题词</w:t>
      </w:r>
      <w:r>
        <w:rPr>
          <w:rFonts w:hint="eastAsia" w:ascii="仿宋_GB2312" w:eastAsia="仿宋_GB2312"/>
          <w:sz w:val="32"/>
          <w:szCs w:val="32"/>
        </w:rPr>
        <w:t>：</w:t>
      </w:r>
      <w:r>
        <w:rPr>
          <w:rFonts w:hint="eastAsia" w:ascii="方正小标宋简体" w:eastAsia="方正小标宋简体"/>
          <w:sz w:val="32"/>
          <w:szCs w:val="32"/>
        </w:rPr>
        <w:t>高等教育  自学考试  管理  规定</w:t>
      </w:r>
    </w:p>
    <w:p>
      <w:pPr>
        <w:tabs>
          <w:tab w:val="left" w:pos="2220"/>
        </w:tabs>
        <w:spacing w:line="420" w:lineRule="exac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179070</wp:posOffset>
                </wp:positionV>
                <wp:extent cx="5486400" cy="0"/>
                <wp:effectExtent l="0" t="0" r="0" b="0"/>
                <wp:wrapNone/>
                <wp:docPr id="3" name="直线 2"/>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4.1pt;height:0pt;width:432pt;z-index:251660288;mso-width-relative:page;mso-height-relative:page;" filled="f" stroked="t" coordsize="21600,21600" o:gfxdata="UEsDBAoAAAAAAIdO4kAAAAAAAAAAAAAAAAAEAAAAZHJzL1BLAwQUAAAACACHTuJAUzIeY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zIeYdMAAAAGAQAADwAAAAAAAAABACAAAAAiAAAAZHJzL2Rv&#10;d25yZXYueG1sUEsBAhQAFAAAAAgAh07iQH6UXGbNAQAAjQMAAA4AAAAAAAAAAQAgAAAAIgEAAGRy&#10;cy9lMm9Eb2MueG1sUEsFBgAAAAAGAAYAWQEAAGEFAAAAAA==&#10;">
                <v:fill on="f" focussize="0,0"/>
                <v:stroke color="#000000" joinstyle="round"/>
                <v:imagedata o:title=""/>
                <o:lock v:ext="edit" aspectratio="f"/>
              </v:line>
            </w:pict>
          </mc:Fallback>
        </mc:AlternateContent>
      </w:r>
      <w:r>
        <w:rPr>
          <w:rFonts w:ascii="仿宋_GB2312" w:eastAsia="仿宋_GB2312"/>
          <w:sz w:val="32"/>
          <w:szCs w:val="32"/>
        </w:rPr>
        <w:tab/>
      </w:r>
    </w:p>
    <w:p>
      <w:pPr>
        <w:spacing w:line="460" w:lineRule="exact"/>
        <w:ind w:right="330"/>
        <w:jc w:val="left"/>
        <w:rPr>
          <w:rFonts w:ascii="宋体" w:hAnsi="宋体"/>
          <w:szCs w:val="21"/>
        </w:rPr>
      </w:pPr>
      <w:r>
        <w:rPr>
          <w:rFonts w:hint="eastAsia" w:ascii="仿宋_GB2312" w:eastAsia="仿宋_GB2312"/>
          <w:sz w:val="32"/>
          <w:szCs w:val="32"/>
        </w:rPr>
        <w:t xml:space="preserve">  浙江省教育厅办公室         2008年11月19日印发</w:t>
      </w:r>
    </w:p>
    <w:p>
      <w:pPr>
        <w:tabs>
          <w:tab w:val="left" w:pos="6096"/>
        </w:tabs>
        <w:spacing w:line="360" w:lineRule="auto"/>
        <w:jc w:val="left"/>
        <w:rPr>
          <w:rFonts w:asciiTheme="minorEastAsia" w:hAnsiTheme="minorEastAsia"/>
          <w:sz w:val="28"/>
          <w:szCs w:val="28"/>
        </w:rPr>
      </w:pPr>
      <w:r>
        <w:br w:type="page"/>
      </w:r>
      <w:r>
        <w:rPr>
          <w:rFonts w:hint="eastAsia" w:asciiTheme="minorEastAsia" w:hAnsiTheme="minorEastAsia"/>
          <w:bCs/>
          <w:sz w:val="28"/>
          <w:szCs w:val="28"/>
        </w:rPr>
        <w:t>附件六</w:t>
      </w:r>
      <w:r>
        <w:rPr>
          <w:rFonts w:hint="eastAsia" w:asciiTheme="minorEastAsia" w:hAnsiTheme="minorEastAsia"/>
          <w:sz w:val="28"/>
          <w:szCs w:val="28"/>
        </w:rPr>
        <w:t>（Excel表格）：学费缴费格式</w:t>
      </w:r>
    </w:p>
    <w:p>
      <w:pPr>
        <w:spacing w:beforeLines="50" w:afterLines="50"/>
        <w:jc w:val="center"/>
        <w:rPr>
          <w:rFonts w:ascii="黑体" w:hAnsi="黑体" w:eastAsia="黑体"/>
          <w:sz w:val="30"/>
          <w:szCs w:val="30"/>
        </w:rPr>
      </w:pPr>
      <w:r>
        <w:rPr>
          <w:rFonts w:ascii="黑体" w:hAnsi="黑体" w:eastAsia="黑体"/>
          <w:kern w:val="0"/>
          <w:sz w:val="30"/>
          <w:szCs w:val="30"/>
        </w:rPr>
        <w:t>xx</w:t>
      </w:r>
      <w:r>
        <w:rPr>
          <w:rFonts w:hint="eastAsia" w:ascii="黑体" w:hAnsi="黑体" w:eastAsia="黑体"/>
          <w:kern w:val="0"/>
          <w:sz w:val="30"/>
          <w:szCs w:val="30"/>
        </w:rPr>
        <w:t>学校年上（或下）专本衔接学费缴费清单</w:t>
      </w:r>
    </w:p>
    <w:tbl>
      <w:tblPr>
        <w:tblStyle w:val="14"/>
        <w:tblW w:w="8275" w:type="dxa"/>
        <w:jc w:val="center"/>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1356"/>
        <w:gridCol w:w="1232"/>
        <w:gridCol w:w="1069"/>
        <w:gridCol w:w="811"/>
        <w:gridCol w:w="840"/>
        <w:gridCol w:w="920"/>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292"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35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身份证号</w:t>
            </w:r>
          </w:p>
        </w:tc>
        <w:tc>
          <w:tcPr>
            <w:tcW w:w="1232"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准考证号</w:t>
            </w:r>
          </w:p>
        </w:tc>
        <w:tc>
          <w:tcPr>
            <w:tcW w:w="1069"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专业</w:t>
            </w:r>
          </w:p>
        </w:tc>
        <w:tc>
          <w:tcPr>
            <w:tcW w:w="811"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年级</w:t>
            </w:r>
          </w:p>
        </w:tc>
        <w:tc>
          <w:tcPr>
            <w:tcW w:w="840"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次数</w:t>
            </w:r>
          </w:p>
        </w:tc>
        <w:tc>
          <w:tcPr>
            <w:tcW w:w="92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金额</w:t>
            </w:r>
          </w:p>
        </w:tc>
        <w:tc>
          <w:tcPr>
            <w:tcW w:w="755"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92" w:type="dxa"/>
            <w:shd w:val="clear" w:color="auto" w:fill="auto"/>
            <w:vAlign w:val="center"/>
          </w:tcPr>
          <w:p>
            <w:pPr>
              <w:widowControl/>
              <w:jc w:val="center"/>
              <w:rPr>
                <w:rFonts w:ascii="仿宋" w:hAnsi="仿宋" w:eastAsia="仿宋" w:cs="宋体"/>
                <w:kern w:val="0"/>
                <w:sz w:val="24"/>
                <w:szCs w:val="24"/>
              </w:rPr>
            </w:pPr>
          </w:p>
        </w:tc>
        <w:tc>
          <w:tcPr>
            <w:tcW w:w="1356" w:type="dxa"/>
            <w:shd w:val="clear" w:color="auto" w:fill="auto"/>
            <w:vAlign w:val="center"/>
          </w:tcPr>
          <w:p>
            <w:pPr>
              <w:widowControl/>
              <w:jc w:val="center"/>
              <w:rPr>
                <w:rFonts w:ascii="仿宋" w:hAnsi="仿宋" w:eastAsia="仿宋" w:cs="宋体"/>
                <w:kern w:val="0"/>
                <w:sz w:val="24"/>
                <w:szCs w:val="24"/>
              </w:rPr>
            </w:pPr>
          </w:p>
        </w:tc>
        <w:tc>
          <w:tcPr>
            <w:tcW w:w="1232" w:type="dxa"/>
            <w:shd w:val="clear" w:color="auto" w:fill="auto"/>
            <w:vAlign w:val="center"/>
          </w:tcPr>
          <w:p>
            <w:pPr>
              <w:widowControl/>
              <w:jc w:val="center"/>
              <w:rPr>
                <w:rFonts w:ascii="仿宋" w:hAnsi="仿宋" w:eastAsia="仿宋" w:cs="宋体"/>
                <w:kern w:val="0"/>
                <w:sz w:val="24"/>
                <w:szCs w:val="24"/>
              </w:rPr>
            </w:pPr>
          </w:p>
        </w:tc>
        <w:tc>
          <w:tcPr>
            <w:tcW w:w="1069" w:type="dxa"/>
            <w:shd w:val="clear" w:color="auto" w:fill="auto"/>
            <w:vAlign w:val="center"/>
          </w:tcPr>
          <w:p>
            <w:pPr>
              <w:widowControl/>
              <w:jc w:val="center"/>
              <w:rPr>
                <w:rFonts w:ascii="仿宋" w:hAnsi="仿宋" w:eastAsia="仿宋" w:cs="宋体"/>
                <w:kern w:val="0"/>
                <w:sz w:val="24"/>
                <w:szCs w:val="24"/>
              </w:rPr>
            </w:pPr>
          </w:p>
        </w:tc>
        <w:tc>
          <w:tcPr>
            <w:tcW w:w="811" w:type="dxa"/>
            <w:vAlign w:val="center"/>
          </w:tcPr>
          <w:p>
            <w:pPr>
              <w:widowControl/>
              <w:jc w:val="center"/>
              <w:rPr>
                <w:rFonts w:ascii="仿宋" w:hAnsi="仿宋" w:eastAsia="仿宋" w:cs="宋体"/>
                <w:kern w:val="0"/>
                <w:sz w:val="24"/>
                <w:szCs w:val="24"/>
              </w:rPr>
            </w:pPr>
          </w:p>
        </w:tc>
        <w:tc>
          <w:tcPr>
            <w:tcW w:w="840" w:type="dxa"/>
            <w:vAlign w:val="center"/>
          </w:tcPr>
          <w:p>
            <w:pPr>
              <w:widowControl/>
              <w:jc w:val="center"/>
              <w:rPr>
                <w:rFonts w:ascii="仿宋" w:hAnsi="仿宋" w:eastAsia="仿宋" w:cs="宋体"/>
                <w:kern w:val="0"/>
                <w:sz w:val="24"/>
                <w:szCs w:val="24"/>
              </w:rPr>
            </w:pPr>
          </w:p>
        </w:tc>
        <w:tc>
          <w:tcPr>
            <w:tcW w:w="920" w:type="dxa"/>
            <w:shd w:val="clear" w:color="auto" w:fill="auto"/>
            <w:vAlign w:val="center"/>
          </w:tcPr>
          <w:p>
            <w:pPr>
              <w:widowControl/>
              <w:jc w:val="center"/>
              <w:rPr>
                <w:rFonts w:ascii="仿宋" w:hAnsi="仿宋" w:eastAsia="仿宋" w:cs="宋体"/>
                <w:kern w:val="0"/>
                <w:sz w:val="24"/>
                <w:szCs w:val="24"/>
              </w:rPr>
            </w:pPr>
          </w:p>
        </w:tc>
        <w:tc>
          <w:tcPr>
            <w:tcW w:w="755" w:type="dxa"/>
            <w:vAlign w:val="center"/>
          </w:tcPr>
          <w:p>
            <w:pPr>
              <w:widowControl/>
              <w:jc w:val="center"/>
              <w:rPr>
                <w:rFonts w:ascii="仿宋" w:hAnsi="仿宋" w:eastAsia="仿宋" w:cs="宋体"/>
                <w:kern w:val="0"/>
                <w:sz w:val="24"/>
                <w:szCs w:val="24"/>
              </w:rPr>
            </w:pPr>
          </w:p>
        </w:tc>
      </w:tr>
    </w:tbl>
    <w:p>
      <w:pPr>
        <w:spacing w:beforeLines="50"/>
        <w:rPr>
          <w:rFonts w:ascii="仿宋" w:hAnsi="仿宋" w:eastAsia="仿宋"/>
          <w:sz w:val="24"/>
          <w:szCs w:val="24"/>
        </w:rPr>
      </w:pPr>
      <w:r>
        <w:rPr>
          <w:rFonts w:hint="eastAsia" w:ascii="仿宋" w:hAnsi="仿宋" w:eastAsia="仿宋"/>
          <w:sz w:val="24"/>
          <w:szCs w:val="24"/>
        </w:rPr>
        <w:t>备注：次数填写第几次缴费，如果新生准考证未办出则空白不填。</w:t>
      </w:r>
    </w:p>
    <w:p/>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694898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浙江工商大学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30F8F"/>
    <w:multiLevelType w:val="multilevel"/>
    <w:tmpl w:val="45730F8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DB1FD5"/>
    <w:multiLevelType w:val="multilevel"/>
    <w:tmpl w:val="71DB1F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31"/>
    <w:rsid w:val="00081076"/>
    <w:rsid w:val="00086DDC"/>
    <w:rsid w:val="001206CA"/>
    <w:rsid w:val="00156C24"/>
    <w:rsid w:val="00184DBF"/>
    <w:rsid w:val="001D4970"/>
    <w:rsid w:val="002612D5"/>
    <w:rsid w:val="0029548A"/>
    <w:rsid w:val="002E1098"/>
    <w:rsid w:val="003228A0"/>
    <w:rsid w:val="003619F7"/>
    <w:rsid w:val="003B4769"/>
    <w:rsid w:val="003C4F67"/>
    <w:rsid w:val="003D774A"/>
    <w:rsid w:val="003E3206"/>
    <w:rsid w:val="00415374"/>
    <w:rsid w:val="00416FC0"/>
    <w:rsid w:val="004474FA"/>
    <w:rsid w:val="00552D47"/>
    <w:rsid w:val="00564C3F"/>
    <w:rsid w:val="0059211B"/>
    <w:rsid w:val="005A12F8"/>
    <w:rsid w:val="005E4C51"/>
    <w:rsid w:val="006665A4"/>
    <w:rsid w:val="006A0EA9"/>
    <w:rsid w:val="006A7B5B"/>
    <w:rsid w:val="0071746A"/>
    <w:rsid w:val="0078010D"/>
    <w:rsid w:val="007826C6"/>
    <w:rsid w:val="00786030"/>
    <w:rsid w:val="00791302"/>
    <w:rsid w:val="00791AAA"/>
    <w:rsid w:val="007953BA"/>
    <w:rsid w:val="007A4D7E"/>
    <w:rsid w:val="007C5F67"/>
    <w:rsid w:val="008105E7"/>
    <w:rsid w:val="00837738"/>
    <w:rsid w:val="00865D19"/>
    <w:rsid w:val="00874F06"/>
    <w:rsid w:val="00885456"/>
    <w:rsid w:val="00897205"/>
    <w:rsid w:val="008B3532"/>
    <w:rsid w:val="00903A79"/>
    <w:rsid w:val="009371E9"/>
    <w:rsid w:val="00976BDE"/>
    <w:rsid w:val="009B5B5D"/>
    <w:rsid w:val="009C579A"/>
    <w:rsid w:val="00A93852"/>
    <w:rsid w:val="00AD2416"/>
    <w:rsid w:val="00B175AA"/>
    <w:rsid w:val="00B17B3B"/>
    <w:rsid w:val="00B3339C"/>
    <w:rsid w:val="00B76F81"/>
    <w:rsid w:val="00C069A8"/>
    <w:rsid w:val="00C2533B"/>
    <w:rsid w:val="00C43D4F"/>
    <w:rsid w:val="00C80C34"/>
    <w:rsid w:val="00CA6B8C"/>
    <w:rsid w:val="00CB2C2C"/>
    <w:rsid w:val="00CC4FFA"/>
    <w:rsid w:val="00D17FCB"/>
    <w:rsid w:val="00D26505"/>
    <w:rsid w:val="00D26C09"/>
    <w:rsid w:val="00D45C8A"/>
    <w:rsid w:val="00D6239E"/>
    <w:rsid w:val="00DE65B5"/>
    <w:rsid w:val="00DF1967"/>
    <w:rsid w:val="00E0192F"/>
    <w:rsid w:val="00E42749"/>
    <w:rsid w:val="00E53E29"/>
    <w:rsid w:val="00EA3D00"/>
    <w:rsid w:val="00EC7847"/>
    <w:rsid w:val="00EE5157"/>
    <w:rsid w:val="00EF675F"/>
    <w:rsid w:val="00F1268E"/>
    <w:rsid w:val="00F15F81"/>
    <w:rsid w:val="00F215BB"/>
    <w:rsid w:val="00F607E8"/>
    <w:rsid w:val="00F6535D"/>
    <w:rsid w:val="00F77D93"/>
    <w:rsid w:val="00F94BB4"/>
    <w:rsid w:val="00FA62FD"/>
    <w:rsid w:val="00FB7231"/>
    <w:rsid w:val="00FD00B7"/>
    <w:rsid w:val="00FE471D"/>
    <w:rsid w:val="00FF6B9D"/>
    <w:rsid w:val="5C9F5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lock Text"/>
    <w:basedOn w:val="1"/>
    <w:uiPriority w:val="0"/>
    <w:pPr>
      <w:tabs>
        <w:tab w:val="left" w:pos="3780"/>
      </w:tabs>
      <w:autoSpaceDE w:val="0"/>
      <w:autoSpaceDN w:val="0"/>
      <w:adjustRightInd w:val="0"/>
      <w:snapToGrid w:val="0"/>
      <w:spacing w:line="660" w:lineRule="exact"/>
      <w:ind w:left="318" w:right="318"/>
    </w:pPr>
    <w:rPr>
      <w:rFonts w:ascii="华文中宋" w:hAnsi="Times New Roman" w:eastAsia="华文中宋" w:cs="华文中宋"/>
      <w:b/>
      <w:bCs/>
      <w:kern w:val="0"/>
      <w:sz w:val="44"/>
      <w:szCs w:val="44"/>
      <w:lang w:val="zh-CN"/>
    </w:rPr>
  </w:style>
  <w:style w:type="paragraph" w:styleId="5">
    <w:name w:val="Date"/>
    <w:basedOn w:val="1"/>
    <w:next w:val="1"/>
    <w:link w:val="21"/>
    <w:semiHidden/>
    <w:unhideWhenUsed/>
    <w:uiPriority w:val="99"/>
    <w:pPr>
      <w:ind w:left="100" w:leftChars="2500"/>
    </w:pPr>
  </w:style>
  <w:style w:type="paragraph" w:styleId="6">
    <w:name w:val="Balloon Text"/>
    <w:basedOn w:val="1"/>
    <w:link w:val="24"/>
    <w:semiHidden/>
    <w:unhideWhenUsed/>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tabs>
        <w:tab w:val="right" w:leader="dot" w:pos="8296"/>
      </w:tabs>
      <w:spacing w:line="360" w:lineRule="auto"/>
    </w:p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character" w:styleId="13">
    <w:name w:val="Hyperlink"/>
    <w:basedOn w:val="12"/>
    <w:unhideWhenUsed/>
    <w:qFormat/>
    <w:uiPriority w:val="99"/>
    <w:rPr>
      <w:color w:val="0000FF" w:themeColor="hyperlink"/>
      <w:u w:val="single"/>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6">
    <w:name w:val="标题 1 Char"/>
    <w:basedOn w:val="12"/>
    <w:link w:val="2"/>
    <w:uiPriority w:val="0"/>
    <w:rPr>
      <w:b/>
      <w:bCs/>
      <w:kern w:val="44"/>
      <w:sz w:val="44"/>
      <w:szCs w:val="44"/>
    </w:rPr>
  </w:style>
  <w:style w:type="character" w:customStyle="1" w:styleId="17">
    <w:name w:val="标题 2 Char"/>
    <w:basedOn w:val="12"/>
    <w:link w:val="3"/>
    <w:uiPriority w:val="9"/>
    <w:rPr>
      <w:rFonts w:asciiTheme="majorHAnsi" w:hAnsiTheme="majorHAnsi" w:eastAsiaTheme="majorEastAsia" w:cstheme="majorBidi"/>
      <w:b/>
      <w:bCs/>
      <w:sz w:val="32"/>
      <w:szCs w:val="32"/>
    </w:rPr>
  </w:style>
  <w:style w:type="paragraph" w:styleId="18">
    <w:name w:val="List Paragraph"/>
    <w:basedOn w:val="1"/>
    <w:qFormat/>
    <w:uiPriority w:val="34"/>
    <w:pPr>
      <w:ind w:firstLine="420" w:firstLineChars="200"/>
    </w:pPr>
  </w:style>
  <w:style w:type="character" w:customStyle="1" w:styleId="19">
    <w:name w:val="页眉 Char"/>
    <w:basedOn w:val="12"/>
    <w:link w:val="8"/>
    <w:uiPriority w:val="99"/>
    <w:rPr>
      <w:sz w:val="18"/>
      <w:szCs w:val="18"/>
    </w:rPr>
  </w:style>
  <w:style w:type="character" w:customStyle="1" w:styleId="20">
    <w:name w:val="页脚 Char"/>
    <w:basedOn w:val="12"/>
    <w:link w:val="7"/>
    <w:uiPriority w:val="99"/>
    <w:rPr>
      <w:sz w:val="18"/>
      <w:szCs w:val="18"/>
    </w:rPr>
  </w:style>
  <w:style w:type="character" w:customStyle="1" w:styleId="21">
    <w:name w:val="日期 Char"/>
    <w:basedOn w:val="12"/>
    <w:link w:val="5"/>
    <w:semiHidden/>
    <w:uiPriority w:val="99"/>
  </w:style>
  <w:style w:type="character" w:customStyle="1" w:styleId="22">
    <w:name w:val="标题 Char"/>
    <w:basedOn w:val="12"/>
    <w:link w:val="11"/>
    <w:uiPriority w:val="10"/>
    <w:rPr>
      <w:rFonts w:eastAsia="宋体" w:asciiTheme="majorHAnsi" w:hAnsiTheme="majorHAnsi" w:cstheme="majorBidi"/>
      <w:b/>
      <w:bCs/>
      <w:sz w:val="32"/>
      <w:szCs w:val="32"/>
    </w:rPr>
  </w:style>
  <w:style w:type="paragraph" w:customStyle="1" w:styleId="2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
    <w:name w:val="批注框文本 Char"/>
    <w:basedOn w:val="12"/>
    <w:link w:val="6"/>
    <w:semiHidden/>
    <w:uiPriority w:val="99"/>
    <w:rPr>
      <w:sz w:val="18"/>
      <w:szCs w:val="18"/>
    </w:rPr>
  </w:style>
  <w:style w:type="paragraph" w:customStyle="1" w:styleId="2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89B19-D9BE-4468-B649-C0F324ACC152}">
  <ds:schemaRefs/>
</ds:datastoreItem>
</file>

<file path=docProps/app.xml><?xml version="1.0" encoding="utf-8"?>
<Properties xmlns="http://schemas.openxmlformats.org/officeDocument/2006/extended-properties" xmlns:vt="http://schemas.openxmlformats.org/officeDocument/2006/docPropsVTypes">
  <Template>Normal</Template>
  <Pages>23</Pages>
  <Words>1718</Words>
  <Characters>9793</Characters>
  <Lines>81</Lines>
  <Paragraphs>22</Paragraphs>
  <TotalTime>0</TotalTime>
  <ScaleCrop>false</ScaleCrop>
  <LinksUpToDate>false</LinksUpToDate>
  <CharactersWithSpaces>11489</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2017-09-21T02:11:00Z</dcterms:created>
  <dc:creator>hgfvc</dc:creator>
  <cp:lastModifiedBy>Administrator</cp:lastModifiedBy>
  <dcterms:modified xsi:type="dcterms:W3CDTF">2018-03-22T02:06:31Z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